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C018C" w14:textId="78E0F9EB" w:rsidR="002C545A" w:rsidRPr="00262186" w:rsidRDefault="002C545A" w:rsidP="00C819D0">
      <w:pPr>
        <w:tabs>
          <w:tab w:val="left" w:pos="1985"/>
        </w:tabs>
        <w:spacing w:after="0" w:line="276" w:lineRule="auto"/>
        <w:contextualSpacing/>
        <w:jc w:val="both"/>
        <w:rPr>
          <w:rFonts w:ascii="Arial" w:hAnsi="Arial" w:cs="Arial"/>
          <w:b/>
          <w:sz w:val="24"/>
        </w:rPr>
      </w:pPr>
      <w:r w:rsidRPr="00262186">
        <w:rPr>
          <w:rFonts w:ascii="Arial" w:hAnsi="Arial" w:cs="Arial"/>
          <w:b/>
          <w:sz w:val="24"/>
        </w:rPr>
        <w:t>3GPP TSG RAN WG1 #96</w:t>
      </w:r>
      <w:r w:rsidRPr="00262186">
        <w:rPr>
          <w:rFonts w:ascii="Arial" w:hAnsi="Arial" w:cs="Arial"/>
          <w:b/>
          <w:sz w:val="24"/>
        </w:rPr>
        <w:tab/>
      </w:r>
      <w:r w:rsidRPr="00262186">
        <w:rPr>
          <w:rFonts w:ascii="Arial" w:hAnsi="Arial" w:cs="Arial"/>
          <w:b/>
          <w:sz w:val="24"/>
        </w:rPr>
        <w:tab/>
      </w:r>
      <w:r w:rsidRPr="00262186">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D7C32">
        <w:rPr>
          <w:rFonts w:ascii="Arial" w:hAnsi="Arial" w:cs="Arial"/>
          <w:b/>
          <w:sz w:val="24"/>
        </w:rPr>
        <w:tab/>
      </w:r>
      <w:bookmarkStart w:id="0" w:name="_GoBack"/>
      <w:bookmarkEnd w:id="0"/>
      <w:r w:rsidRPr="00262186">
        <w:rPr>
          <w:rFonts w:ascii="Arial" w:hAnsi="Arial" w:cs="Arial"/>
          <w:b/>
          <w:sz w:val="24"/>
        </w:rPr>
        <w:t>R1-19</w:t>
      </w:r>
      <w:r w:rsidR="00AD7C32">
        <w:rPr>
          <w:rFonts w:ascii="Arial" w:hAnsi="Arial" w:cs="Arial"/>
          <w:b/>
          <w:sz w:val="24"/>
        </w:rPr>
        <w:t>02616</w:t>
      </w:r>
    </w:p>
    <w:p w14:paraId="11F4166D" w14:textId="77777777" w:rsidR="002C545A" w:rsidRDefault="002C545A" w:rsidP="00C819D0">
      <w:pPr>
        <w:tabs>
          <w:tab w:val="left" w:pos="1985"/>
        </w:tabs>
        <w:spacing w:after="0" w:line="276" w:lineRule="auto"/>
        <w:contextualSpacing/>
        <w:jc w:val="both"/>
        <w:rPr>
          <w:rFonts w:ascii="Arial" w:hAnsi="Arial" w:cs="Arial"/>
          <w:b/>
          <w:sz w:val="24"/>
        </w:rPr>
      </w:pPr>
      <w:r w:rsidRPr="00262186">
        <w:rPr>
          <w:rFonts w:ascii="Arial" w:hAnsi="Arial" w:cs="Arial"/>
          <w:b/>
          <w:sz w:val="24"/>
        </w:rPr>
        <w:t xml:space="preserve">Athens, Greece, 25th February – 1st </w:t>
      </w:r>
      <w:proofErr w:type="gramStart"/>
      <w:r w:rsidRPr="00262186">
        <w:rPr>
          <w:rFonts w:ascii="Arial" w:hAnsi="Arial" w:cs="Arial"/>
          <w:b/>
          <w:sz w:val="24"/>
        </w:rPr>
        <w:t>March,</w:t>
      </w:r>
      <w:proofErr w:type="gramEnd"/>
      <w:r w:rsidRPr="00262186">
        <w:rPr>
          <w:rFonts w:ascii="Arial" w:hAnsi="Arial" w:cs="Arial"/>
          <w:b/>
          <w:sz w:val="24"/>
        </w:rPr>
        <w:t xml:space="preserve"> 2019</w:t>
      </w:r>
    </w:p>
    <w:p w14:paraId="673E8FE2" w14:textId="77777777" w:rsidR="00BE3E52" w:rsidRPr="006D58A9" w:rsidRDefault="00BE3E52" w:rsidP="00C819D0">
      <w:pPr>
        <w:tabs>
          <w:tab w:val="left" w:pos="1985"/>
        </w:tabs>
        <w:spacing w:after="0" w:line="276" w:lineRule="auto"/>
        <w:contextualSpacing/>
        <w:jc w:val="both"/>
        <w:rPr>
          <w:rFonts w:ascii="Arial" w:hAnsi="Arial" w:cs="Arial"/>
          <w:b/>
          <w:sz w:val="24"/>
        </w:rPr>
      </w:pPr>
    </w:p>
    <w:p w14:paraId="2D219A81" w14:textId="3DBC0950" w:rsidR="00AE6707" w:rsidRDefault="00AE6707" w:rsidP="00C819D0">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C819D0">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44812C4A"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C545A" w:rsidRPr="002C545A">
        <w:rPr>
          <w:rFonts w:ascii="Arial" w:eastAsia="Malgun Gothic" w:hAnsi="Arial" w:cs="Arial"/>
          <w:b/>
          <w:sz w:val="24"/>
          <w:lang w:val="en-US" w:eastAsia="ko-KR"/>
        </w:rPr>
        <w:t>Discussion on Solutions and UE Capabilities for Full TX Power UL</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35E6EE9" w14:textId="6D002076" w:rsidR="00C2583B" w:rsidRDefault="00AE060E" w:rsidP="00C819D0">
      <w:pPr>
        <w:spacing w:line="276" w:lineRule="auto"/>
        <w:contextualSpacing/>
        <w:jc w:val="both"/>
        <w:rPr>
          <w:sz w:val="22"/>
          <w:szCs w:val="22"/>
          <w:lang w:eastAsia="zh-CN"/>
        </w:rPr>
      </w:pPr>
      <w:bookmarkStart w:id="1" w:name="_Hlk521410680"/>
      <w:r w:rsidRPr="007423AC">
        <w:rPr>
          <w:rFonts w:ascii="Times" w:hAnsi="Times" w:cs="Times"/>
          <w:sz w:val="22"/>
        </w:rPr>
        <w:t xml:space="preserve">In WG1 Meeting </w:t>
      </w:r>
      <w:r w:rsidR="00031498">
        <w:rPr>
          <w:rFonts w:ascii="Times" w:hAnsi="Times" w:cs="Times"/>
          <w:sz w:val="22"/>
        </w:rPr>
        <w:t>AH1901</w:t>
      </w:r>
      <w:r>
        <w:rPr>
          <w:rFonts w:ascii="Times" w:hAnsi="Times" w:cs="Times"/>
          <w:sz w:val="22"/>
        </w:rPr>
        <w:t xml:space="preserve"> [1],</w:t>
      </w:r>
      <w:r w:rsidRPr="007423AC">
        <w:rPr>
          <w:rFonts w:ascii="Times" w:hAnsi="Times" w:cs="Times"/>
          <w:sz w:val="22"/>
        </w:rPr>
        <w:t xml:space="preserve"> RAN1 </w:t>
      </w:r>
      <w:r w:rsidR="004C3449">
        <w:rPr>
          <w:rFonts w:ascii="Times" w:hAnsi="Times" w:cs="Times"/>
          <w:sz w:val="22"/>
        </w:rPr>
        <w:t>continued the</w:t>
      </w:r>
      <w:r w:rsidR="00C757C7">
        <w:rPr>
          <w:rFonts w:ascii="Times" w:hAnsi="Times" w:cs="Times"/>
          <w:sz w:val="22"/>
        </w:rPr>
        <w:t xml:space="preserve"> </w:t>
      </w:r>
      <w:r w:rsidR="00AE7142">
        <w:rPr>
          <w:rFonts w:ascii="Times" w:hAnsi="Times" w:cs="Times"/>
          <w:sz w:val="22"/>
        </w:rPr>
        <w:t xml:space="preserve">discussion on full TX power </w:t>
      </w:r>
      <w:r w:rsidR="00123EA5">
        <w:rPr>
          <w:rFonts w:ascii="Times" w:hAnsi="Times" w:cs="Times"/>
          <w:sz w:val="22"/>
        </w:rPr>
        <w:t>uplink</w:t>
      </w:r>
      <w:r w:rsidR="0063405D">
        <w:rPr>
          <w:rFonts w:ascii="Times" w:hAnsi="Times" w:cs="Times"/>
          <w:sz w:val="22"/>
        </w:rPr>
        <w:t xml:space="preserve">. Since the proposed solutions are mostly dependent on the TX RF structure, in absence of an assumption on PA capability per TX chain, it was not possible to agree on any down-selection of the proposed schemes. As such, the discussion concluded the necessity of having some basic understanding on UE capability in terms of PA rating per TX chain. </w:t>
      </w:r>
      <w:r w:rsidR="00AE7142">
        <w:rPr>
          <w:sz w:val="22"/>
          <w:szCs w:val="22"/>
          <w:lang w:eastAsia="zh-CN"/>
        </w:rPr>
        <w:t>Based on the discussion the following agreements w</w:t>
      </w:r>
      <w:r w:rsidR="009570D7">
        <w:rPr>
          <w:sz w:val="22"/>
          <w:szCs w:val="22"/>
          <w:lang w:eastAsia="zh-CN"/>
        </w:rPr>
        <w:t>ere</w:t>
      </w:r>
      <w:r w:rsidR="00AE7142">
        <w:rPr>
          <w:sz w:val="22"/>
          <w:szCs w:val="22"/>
          <w:lang w:eastAsia="zh-CN"/>
        </w:rPr>
        <w:t xml:space="preserve"> reached:</w:t>
      </w:r>
    </w:p>
    <w:p w14:paraId="38EA536B" w14:textId="77777777" w:rsidR="00C819D0" w:rsidRPr="00AE7142" w:rsidRDefault="00C819D0" w:rsidP="00C819D0">
      <w:pPr>
        <w:spacing w:line="276" w:lineRule="auto"/>
        <w:contextualSpacing/>
        <w:jc w:val="both"/>
        <w:rPr>
          <w:sz w:val="22"/>
          <w:szCs w:val="22"/>
          <w:lang w:eastAsia="zh-CN"/>
        </w:rPr>
      </w:pPr>
    </w:p>
    <w:tbl>
      <w:tblPr>
        <w:tblStyle w:val="TableGrid"/>
        <w:tblW w:w="0" w:type="auto"/>
        <w:tblLook w:val="04A0" w:firstRow="1" w:lastRow="0" w:firstColumn="1" w:lastColumn="0" w:noHBand="0" w:noVBand="1"/>
      </w:tblPr>
      <w:tblGrid>
        <w:gridCol w:w="10160"/>
      </w:tblGrid>
      <w:tr w:rsidR="00AE060E" w:rsidRPr="0063405D" w14:paraId="4592FA4F" w14:textId="77777777" w:rsidTr="00B740B0">
        <w:tc>
          <w:tcPr>
            <w:tcW w:w="10160" w:type="dxa"/>
          </w:tcPr>
          <w:p w14:paraId="4C88D837" w14:textId="77777777" w:rsidR="0017100C" w:rsidRPr="0063405D" w:rsidRDefault="0017100C" w:rsidP="00C819D0">
            <w:pPr>
              <w:spacing w:line="240" w:lineRule="auto"/>
              <w:contextualSpacing/>
              <w:rPr>
                <w:i/>
              </w:rPr>
            </w:pPr>
            <w:r w:rsidRPr="0063405D">
              <w:rPr>
                <w:i/>
              </w:rPr>
              <w:t xml:space="preserve">Full TX power UL transmission with multiple power amplifier is supported at least for </w:t>
            </w:r>
            <w:proofErr w:type="gramStart"/>
            <w:r w:rsidRPr="0063405D">
              <w:rPr>
                <w:i/>
              </w:rPr>
              <w:t>codebook based</w:t>
            </w:r>
            <w:proofErr w:type="gramEnd"/>
            <w:r w:rsidRPr="0063405D">
              <w:rPr>
                <w:i/>
              </w:rPr>
              <w:t xml:space="preserve"> UL transmission for non-coherent and partial/non-coherent capable UEs. The support of this feature is indicated by the UE as part of UE capability signalling. For power class 3:</w:t>
            </w:r>
          </w:p>
          <w:p w14:paraId="38DB89AD" w14:textId="77777777" w:rsidR="0017100C" w:rsidRPr="0063405D" w:rsidRDefault="0017100C" w:rsidP="00C819D0">
            <w:pPr>
              <w:pStyle w:val="ListParagraph"/>
              <w:numPr>
                <w:ilvl w:val="0"/>
                <w:numId w:val="39"/>
              </w:numPr>
              <w:spacing w:line="240" w:lineRule="auto"/>
              <w:contextualSpacing/>
              <w:rPr>
                <w:rFonts w:ascii="Times New Roman" w:eastAsia="SimSun" w:hAnsi="Times New Roman"/>
                <w:i/>
                <w:sz w:val="20"/>
                <w:szCs w:val="20"/>
              </w:rPr>
            </w:pPr>
            <w:r w:rsidRPr="0063405D">
              <w:rPr>
                <w:rFonts w:ascii="Times New Roman" w:eastAsia="SimSun" w:hAnsi="Times New Roman"/>
                <w:i/>
                <w:sz w:val="20"/>
                <w:szCs w:val="20"/>
              </w:rPr>
              <w:t xml:space="preserve">UE capability 1: for the UE to support full Tx power in UL transmission, full rated PAs on each Tx chain is supported with a new UE capability </w:t>
            </w:r>
          </w:p>
          <w:p w14:paraId="593D8790" w14:textId="77777777" w:rsidR="0017100C" w:rsidRPr="0063405D" w:rsidRDefault="0017100C" w:rsidP="00C819D0">
            <w:pPr>
              <w:pStyle w:val="ListParagraph"/>
              <w:widowControl w:val="0"/>
              <w:numPr>
                <w:ilvl w:val="1"/>
                <w:numId w:val="38"/>
              </w:numPr>
              <w:spacing w:line="240" w:lineRule="auto"/>
              <w:contextualSpacing/>
              <w:rPr>
                <w:rFonts w:ascii="Times New Roman" w:hAnsi="Times New Roman"/>
                <w:i/>
                <w:sz w:val="20"/>
                <w:szCs w:val="20"/>
              </w:rPr>
            </w:pPr>
            <w:r w:rsidRPr="0063405D">
              <w:rPr>
                <w:rFonts w:ascii="Times New Roman" w:hAnsi="Times New Roman"/>
                <w:i/>
                <w:sz w:val="20"/>
                <w:szCs w:val="20"/>
              </w:rPr>
              <w:t xml:space="preserve">FFS: detailed power scaling description </w:t>
            </w:r>
          </w:p>
          <w:p w14:paraId="288697B9" w14:textId="77777777" w:rsidR="0017100C" w:rsidRPr="0063405D" w:rsidRDefault="0017100C" w:rsidP="00C819D0">
            <w:pPr>
              <w:pStyle w:val="ListParagraph"/>
              <w:widowControl w:val="0"/>
              <w:numPr>
                <w:ilvl w:val="1"/>
                <w:numId w:val="38"/>
              </w:numPr>
              <w:spacing w:line="240" w:lineRule="auto"/>
              <w:contextualSpacing/>
              <w:rPr>
                <w:rFonts w:ascii="Times New Roman" w:hAnsi="Times New Roman"/>
                <w:i/>
                <w:sz w:val="20"/>
                <w:szCs w:val="20"/>
              </w:rPr>
            </w:pPr>
            <w:r w:rsidRPr="0063405D">
              <w:rPr>
                <w:rFonts w:ascii="Times New Roman" w:hAnsi="Times New Roman"/>
                <w:i/>
                <w:sz w:val="20"/>
                <w:szCs w:val="20"/>
              </w:rPr>
              <w:t>Note: Full Tx power means UE delivers total power of 23dBm for PC3</w:t>
            </w:r>
          </w:p>
          <w:p w14:paraId="4E776A13" w14:textId="77777777" w:rsidR="0017100C" w:rsidRPr="0063405D" w:rsidRDefault="0017100C" w:rsidP="00C819D0">
            <w:pPr>
              <w:pStyle w:val="ListParagraph"/>
              <w:numPr>
                <w:ilvl w:val="0"/>
                <w:numId w:val="39"/>
              </w:numPr>
              <w:spacing w:line="240" w:lineRule="auto"/>
              <w:contextualSpacing/>
              <w:rPr>
                <w:rFonts w:ascii="Times New Roman" w:eastAsia="SimSun" w:hAnsi="Times New Roman"/>
                <w:i/>
                <w:sz w:val="20"/>
                <w:szCs w:val="20"/>
              </w:rPr>
            </w:pPr>
            <w:r w:rsidRPr="0063405D">
              <w:rPr>
                <w:rFonts w:ascii="Times New Roman" w:eastAsia="SimSun" w:hAnsi="Times New Roman"/>
                <w:i/>
                <w:sz w:val="20"/>
                <w:szCs w:val="20"/>
              </w:rPr>
              <w:t xml:space="preserve">UE capability 2: for the UE to support full Tx power in UL transmission, no Tx chain is assumed to deliver full power with the new UE capability </w:t>
            </w:r>
          </w:p>
          <w:p w14:paraId="562D3AE2" w14:textId="77777777" w:rsidR="0017100C" w:rsidRPr="0063405D" w:rsidRDefault="0017100C" w:rsidP="00C819D0">
            <w:pPr>
              <w:pStyle w:val="ListParagraph"/>
              <w:widowControl w:val="0"/>
              <w:numPr>
                <w:ilvl w:val="1"/>
                <w:numId w:val="38"/>
              </w:numPr>
              <w:spacing w:line="240" w:lineRule="auto"/>
              <w:contextualSpacing/>
              <w:rPr>
                <w:rFonts w:ascii="Times New Roman" w:hAnsi="Times New Roman"/>
                <w:i/>
                <w:sz w:val="20"/>
                <w:szCs w:val="20"/>
              </w:rPr>
            </w:pPr>
            <w:r w:rsidRPr="0063405D">
              <w:rPr>
                <w:rFonts w:ascii="Times New Roman" w:hAnsi="Times New Roman" w:hint="eastAsia"/>
                <w:i/>
                <w:sz w:val="20"/>
                <w:szCs w:val="20"/>
              </w:rPr>
              <w:t>FFS: detailed design</w:t>
            </w:r>
          </w:p>
          <w:p w14:paraId="2038E418" w14:textId="77777777" w:rsidR="0017100C" w:rsidRPr="0063405D" w:rsidRDefault="0017100C" w:rsidP="00C819D0">
            <w:pPr>
              <w:pStyle w:val="ListParagraph"/>
              <w:numPr>
                <w:ilvl w:val="0"/>
                <w:numId w:val="39"/>
              </w:numPr>
              <w:spacing w:line="240" w:lineRule="auto"/>
              <w:contextualSpacing/>
              <w:rPr>
                <w:rFonts w:ascii="Times New Roman" w:eastAsia="SimSun" w:hAnsi="Times New Roman"/>
                <w:i/>
                <w:sz w:val="20"/>
                <w:szCs w:val="20"/>
              </w:rPr>
            </w:pPr>
            <w:r w:rsidRPr="0063405D">
              <w:rPr>
                <w:rFonts w:ascii="Times New Roman" w:eastAsia="SimSun" w:hAnsi="Times New Roman" w:hint="eastAsia"/>
                <w:i/>
                <w:sz w:val="20"/>
                <w:szCs w:val="20"/>
              </w:rPr>
              <w:t>UE capability 3:</w:t>
            </w:r>
            <w:r w:rsidRPr="0063405D">
              <w:rPr>
                <w:rFonts w:ascii="Times New Roman" w:eastAsia="SimSun" w:hAnsi="Times New Roman"/>
                <w:i/>
                <w:sz w:val="20"/>
                <w:szCs w:val="20"/>
              </w:rPr>
              <w:t xml:space="preserve"> for the UE to support full Tx power in UL transmission, subset of Tx chains with full rated PAs is supported with a new UE capability</w:t>
            </w:r>
          </w:p>
          <w:p w14:paraId="41932717" w14:textId="77777777" w:rsidR="0017100C" w:rsidRPr="0063405D" w:rsidRDefault="0017100C" w:rsidP="00C819D0">
            <w:pPr>
              <w:spacing w:line="240" w:lineRule="auto"/>
              <w:contextualSpacing/>
              <w:rPr>
                <w:i/>
              </w:rPr>
            </w:pPr>
            <w:r w:rsidRPr="0063405D">
              <w:rPr>
                <w:i/>
              </w:rPr>
              <w:t xml:space="preserve">FFS: Whether all three capabilities will be </w:t>
            </w:r>
            <w:proofErr w:type="gramStart"/>
            <w:r w:rsidRPr="0063405D">
              <w:rPr>
                <w:i/>
              </w:rPr>
              <w:t>specified</w:t>
            </w:r>
            <w:proofErr w:type="gramEnd"/>
            <w:r w:rsidRPr="0063405D">
              <w:rPr>
                <w:i/>
              </w:rPr>
              <w:t xml:space="preserve"> or a subset will be specified</w:t>
            </w:r>
          </w:p>
          <w:p w14:paraId="454F63F0" w14:textId="77777777" w:rsidR="0017100C" w:rsidRPr="0063405D" w:rsidRDefault="0017100C" w:rsidP="00C819D0">
            <w:pPr>
              <w:spacing w:line="240" w:lineRule="auto"/>
              <w:contextualSpacing/>
              <w:rPr>
                <w:i/>
              </w:rPr>
            </w:pPr>
            <w:r w:rsidRPr="0063405D">
              <w:rPr>
                <w:i/>
              </w:rPr>
              <w:t>FFS: UE capability signalling/reporting details</w:t>
            </w:r>
          </w:p>
          <w:p w14:paraId="11B9CC13" w14:textId="77777777" w:rsidR="0017100C" w:rsidRPr="0063405D" w:rsidRDefault="0017100C" w:rsidP="00C819D0">
            <w:pPr>
              <w:spacing w:line="240" w:lineRule="auto"/>
              <w:contextualSpacing/>
              <w:rPr>
                <w:i/>
              </w:rPr>
            </w:pPr>
            <w:r w:rsidRPr="0063405D">
              <w:rPr>
                <w:i/>
              </w:rPr>
              <w:t>Note: Two or more of the above capabilities could be merged depending on the further details</w:t>
            </w:r>
          </w:p>
          <w:p w14:paraId="0F94411F" w14:textId="392B7E33" w:rsidR="00AE060E" w:rsidRPr="00B17F12" w:rsidRDefault="0017100C" w:rsidP="00C819D0">
            <w:pPr>
              <w:spacing w:line="240" w:lineRule="auto"/>
              <w:contextualSpacing/>
              <w:rPr>
                <w:i/>
              </w:rPr>
            </w:pPr>
            <w:r w:rsidRPr="0063405D">
              <w:rPr>
                <w:i/>
              </w:rPr>
              <w:t>Send LS to RAN4 to provide their view on PC 2 applicability of the new UE capability (Rakesh, vivo).</w:t>
            </w:r>
          </w:p>
        </w:tc>
      </w:tr>
    </w:tbl>
    <w:p w14:paraId="7C6C35FF" w14:textId="5E60609C" w:rsidR="00C819D0" w:rsidRDefault="00C819D0" w:rsidP="00C819D0">
      <w:pPr>
        <w:pStyle w:val="tdoc"/>
        <w:rPr>
          <w:lang w:val="en-US"/>
        </w:rPr>
      </w:pPr>
    </w:p>
    <w:p w14:paraId="32672CF2" w14:textId="77777777" w:rsidR="00C819D0" w:rsidRPr="00C819D0" w:rsidRDefault="00C819D0" w:rsidP="00C819D0">
      <w:pPr>
        <w:rPr>
          <w:lang w:val="en-US"/>
        </w:rPr>
      </w:pPr>
    </w:p>
    <w:p w14:paraId="64E4B62E" w14:textId="31ED6C9B" w:rsidR="00A70A02" w:rsidRPr="00AE2707" w:rsidRDefault="00AE2707"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 xml:space="preserve">UL Full TX Power </w:t>
      </w:r>
    </w:p>
    <w:p w14:paraId="4264B1D2" w14:textId="4C1B9FB1" w:rsidR="0045162A" w:rsidRDefault="0045162A" w:rsidP="00C819D0">
      <w:pPr>
        <w:pStyle w:val="Heading1"/>
        <w:spacing w:line="276" w:lineRule="auto"/>
        <w:ind w:left="0" w:firstLine="180"/>
        <w:contextualSpacing/>
        <w:jc w:val="both"/>
        <w:rPr>
          <w:rFonts w:ascii="Times New Roman" w:eastAsiaTheme="minorHAnsi" w:hAnsi="Times New Roman"/>
          <w:sz w:val="22"/>
          <w:szCs w:val="24"/>
        </w:rPr>
      </w:pPr>
      <w:r w:rsidRPr="008E51FE">
        <w:rPr>
          <w:rFonts w:ascii="Times New Roman" w:eastAsiaTheme="minorHAnsi" w:hAnsi="Times New Roman"/>
          <w:sz w:val="22"/>
          <w:szCs w:val="24"/>
        </w:rPr>
        <w:t xml:space="preserve">Since a mismatch between different elements of a UE RF transmit chain can result in inaccurate precoding, in </w:t>
      </w:r>
      <w:r w:rsidR="00D47833">
        <w:rPr>
          <w:rFonts w:ascii="Times New Roman" w:eastAsiaTheme="minorHAnsi" w:hAnsi="Times New Roman"/>
          <w:sz w:val="22"/>
          <w:szCs w:val="24"/>
        </w:rPr>
        <w:t xml:space="preserve">NR </w:t>
      </w:r>
      <w:r w:rsidRPr="008E51FE">
        <w:rPr>
          <w:rFonts w:ascii="Times New Roman" w:eastAsiaTheme="minorHAnsi" w:hAnsi="Times New Roman"/>
          <w:sz w:val="22"/>
          <w:szCs w:val="24"/>
        </w:rPr>
        <w:t xml:space="preserve">Rel-15, three different </w:t>
      </w:r>
      <w:r w:rsidR="00D47833">
        <w:rPr>
          <w:rFonts w:ascii="Times New Roman" w:eastAsiaTheme="minorHAnsi" w:hAnsi="Times New Roman"/>
          <w:sz w:val="22"/>
          <w:szCs w:val="24"/>
        </w:rPr>
        <w:t>coherency</w:t>
      </w:r>
      <w:r w:rsidRPr="008E51FE">
        <w:rPr>
          <w:rFonts w:ascii="Times New Roman" w:eastAsiaTheme="minorHAnsi" w:hAnsi="Times New Roman"/>
          <w:sz w:val="22"/>
          <w:szCs w:val="24"/>
        </w:rPr>
        <w:t xml:space="preserve"> capabilities were introduced to allow a more reliable uplink transmission. The introduced UE transmission capabilities reflect the integrity of the uplink transmission in terms of phase/time coherency that are resulted from impairments. Therefore, by considering the reported UE capabilities, i.e., </w:t>
      </w:r>
      <w:proofErr w:type="spellStart"/>
      <w:r w:rsidRPr="008E51FE">
        <w:rPr>
          <w:rFonts w:ascii="Times New Roman" w:eastAsiaTheme="minorHAnsi" w:hAnsi="Times New Roman"/>
          <w:sz w:val="22"/>
          <w:szCs w:val="24"/>
        </w:rPr>
        <w:t>nonCoherent</w:t>
      </w:r>
      <w:proofErr w:type="spellEnd"/>
      <w:r w:rsidRPr="008E51FE">
        <w:rPr>
          <w:rFonts w:ascii="Times New Roman" w:eastAsiaTheme="minorHAnsi" w:hAnsi="Times New Roman"/>
          <w:sz w:val="22"/>
          <w:szCs w:val="24"/>
        </w:rPr>
        <w:t xml:space="preserve"> (NC), </w:t>
      </w:r>
      <w:proofErr w:type="spellStart"/>
      <w:r w:rsidRPr="008E51FE">
        <w:rPr>
          <w:rFonts w:ascii="Times New Roman" w:eastAsiaTheme="minorHAnsi" w:hAnsi="Times New Roman"/>
          <w:sz w:val="22"/>
          <w:szCs w:val="24"/>
        </w:rPr>
        <w:t>partialAndNonCoherent</w:t>
      </w:r>
      <w:proofErr w:type="spellEnd"/>
      <w:r w:rsidRPr="008E51FE">
        <w:rPr>
          <w:rFonts w:ascii="Times New Roman" w:eastAsiaTheme="minorHAnsi" w:hAnsi="Times New Roman"/>
          <w:sz w:val="22"/>
          <w:szCs w:val="24"/>
        </w:rPr>
        <w:t xml:space="preserve"> (PNC) and </w:t>
      </w:r>
      <w:proofErr w:type="spellStart"/>
      <w:r w:rsidRPr="008E51FE">
        <w:rPr>
          <w:rFonts w:ascii="Times New Roman" w:eastAsiaTheme="minorHAnsi" w:hAnsi="Times New Roman"/>
          <w:sz w:val="22"/>
          <w:szCs w:val="24"/>
        </w:rPr>
        <w:t>fullAndPartialAndNonCoherent</w:t>
      </w:r>
      <w:proofErr w:type="spellEnd"/>
      <w:r w:rsidRPr="008E51FE">
        <w:rPr>
          <w:rFonts w:ascii="Times New Roman" w:eastAsiaTheme="minorHAnsi" w:hAnsi="Times New Roman"/>
          <w:sz w:val="22"/>
          <w:szCs w:val="24"/>
        </w:rPr>
        <w:t xml:space="preserve"> (FPNC), the precoding operation can be adapted according to the coherence level of the antenna panel architecture.  As such, according to UE coherence capability, only a specific subset of precoders will be allowed for transmission.</w:t>
      </w:r>
    </w:p>
    <w:p w14:paraId="2C06AE6A" w14:textId="77777777" w:rsidR="0045162A" w:rsidRPr="00C819D0" w:rsidRDefault="0045162A" w:rsidP="00C819D0">
      <w:pPr>
        <w:spacing w:line="276" w:lineRule="auto"/>
        <w:ind w:firstLine="180"/>
        <w:jc w:val="both"/>
        <w:rPr>
          <w:b/>
          <w:bCs/>
          <w:sz w:val="22"/>
          <w:szCs w:val="22"/>
        </w:rPr>
      </w:pPr>
      <w:r w:rsidRPr="00C819D0">
        <w:rPr>
          <w:sz w:val="22"/>
        </w:rPr>
        <w:t>According to Rel-15 specifications [1]; “</w:t>
      </w:r>
      <w:r w:rsidRPr="00D47833">
        <w:rPr>
          <w:i/>
          <w:sz w:val="22"/>
        </w:rPr>
        <w:t xml:space="preserve">For a PUSCH transmission on active UL BWP , as described in Subclause 12, of carrier  of serving cell , a UE first scales a linear value  of the transmit power , with parameters as defined in Subclause 7.1.1, by the ratio of the number of antenna ports with a non-zero PUSCH transmission power to the </w:t>
      </w:r>
      <w:r w:rsidRPr="00D47833">
        <w:rPr>
          <w:i/>
          <w:sz w:val="22"/>
          <w:szCs w:val="22"/>
        </w:rPr>
        <w:lastRenderedPageBreak/>
        <w:t>number of configured antenna ports for the PUSCH transmission scheme. The UE splits the resulting scaled power equally across the antenna ports on which the UE transmits the PUSCH with non-zero power</w:t>
      </w:r>
      <w:r w:rsidRPr="00C819D0">
        <w:rPr>
          <w:sz w:val="22"/>
          <w:szCs w:val="22"/>
        </w:rPr>
        <w:t xml:space="preserve">.” Therefore, in NR Rel-15 UE precoding </w:t>
      </w:r>
      <w:proofErr w:type="spellStart"/>
      <w:r w:rsidRPr="00C819D0">
        <w:rPr>
          <w:sz w:val="22"/>
          <w:szCs w:val="22"/>
        </w:rPr>
        <w:t>behavior</w:t>
      </w:r>
      <w:proofErr w:type="spellEnd"/>
      <w:r w:rsidRPr="00C819D0">
        <w:rPr>
          <w:sz w:val="22"/>
          <w:szCs w:val="22"/>
        </w:rPr>
        <w:t xml:space="preserve"> where antenna selection is performed through subset precoder selection, full TX power may not always be achieved. </w:t>
      </w:r>
      <w:r w:rsidRPr="00C819D0">
        <w:rPr>
          <w:sz w:val="22"/>
          <w:szCs w:val="22"/>
        </w:rPr>
        <w:tab/>
      </w:r>
    </w:p>
    <w:p w14:paraId="093E3C7C" w14:textId="4E0E511F" w:rsidR="0045162A" w:rsidRPr="00C819D0" w:rsidRDefault="0045162A" w:rsidP="00C819D0">
      <w:pPr>
        <w:pStyle w:val="text"/>
        <w:spacing w:line="276" w:lineRule="auto"/>
        <w:ind w:firstLine="288"/>
        <w:rPr>
          <w:sz w:val="22"/>
          <w:szCs w:val="22"/>
        </w:rPr>
      </w:pPr>
      <w:r w:rsidRPr="00C819D0">
        <w:rPr>
          <w:sz w:val="22"/>
          <w:szCs w:val="22"/>
        </w:rPr>
        <w:t xml:space="preserve">Factors such as UE cost, heat dissipation, and limited physical dimension requires that power amplifier (PA) power rating per TX chain is always kept below the max total UE power. As a result, any precoding procedure that involves a form of antenna selection would automatically result in a reduced total power. </w:t>
      </w:r>
      <w:r w:rsidRPr="00C819D0">
        <w:rPr>
          <w:rFonts w:eastAsiaTheme="minorHAnsi"/>
          <w:b/>
          <w:bCs/>
          <w:sz w:val="22"/>
          <w:szCs w:val="22"/>
        </w:rPr>
        <w:fldChar w:fldCharType="begin"/>
      </w:r>
      <w:r w:rsidRPr="00C819D0">
        <w:rPr>
          <w:rFonts w:eastAsiaTheme="minorHAnsi"/>
          <w:sz w:val="22"/>
          <w:szCs w:val="22"/>
        </w:rPr>
        <w:instrText xml:space="preserve"> REF _Ref296149 \h  \* MERGEFORMAT </w:instrText>
      </w:r>
      <w:r w:rsidRPr="00C819D0">
        <w:rPr>
          <w:rFonts w:eastAsiaTheme="minorHAnsi"/>
          <w:b/>
          <w:bCs/>
          <w:sz w:val="22"/>
          <w:szCs w:val="22"/>
        </w:rPr>
      </w:r>
      <w:r w:rsidRPr="00C819D0">
        <w:rPr>
          <w:rFonts w:eastAsiaTheme="minorHAnsi"/>
          <w:b/>
          <w:bCs/>
          <w:sz w:val="22"/>
          <w:szCs w:val="22"/>
        </w:rPr>
        <w:fldChar w:fldCharType="separate"/>
      </w:r>
      <w:r w:rsidRPr="00C819D0">
        <w:rPr>
          <w:sz w:val="22"/>
          <w:szCs w:val="22"/>
        </w:rPr>
        <w:t xml:space="preserve">Figure </w:t>
      </w:r>
      <w:r w:rsidRPr="00C819D0">
        <w:rPr>
          <w:noProof/>
          <w:sz w:val="22"/>
          <w:szCs w:val="22"/>
        </w:rPr>
        <w:t>1</w:t>
      </w:r>
      <w:r w:rsidRPr="00C819D0">
        <w:rPr>
          <w:rFonts w:eastAsiaTheme="minorHAnsi"/>
          <w:b/>
          <w:bCs/>
          <w:sz w:val="22"/>
          <w:szCs w:val="22"/>
        </w:rPr>
        <w:fldChar w:fldCharType="end"/>
      </w:r>
      <w:r w:rsidRPr="00C819D0">
        <w:rPr>
          <w:rFonts w:eastAsiaTheme="minorHAnsi"/>
          <w:sz w:val="22"/>
          <w:szCs w:val="22"/>
        </w:rPr>
        <w:t xml:space="preserve"> shows a typical structure of a MIMO transmitter with 4 TX antennas where the maximum output power of each transmitter chain is limited by </w:t>
      </w:r>
      <w:proofErr w:type="spellStart"/>
      <w:r w:rsidRPr="00C819D0">
        <w:rPr>
          <w:rFonts w:eastAsiaTheme="minorHAnsi"/>
          <w:sz w:val="22"/>
          <w:szCs w:val="22"/>
        </w:rPr>
        <w:t>P</w:t>
      </w:r>
      <w:r w:rsidRPr="00C819D0">
        <w:rPr>
          <w:rFonts w:eastAsiaTheme="minorHAnsi"/>
          <w:sz w:val="22"/>
          <w:szCs w:val="22"/>
          <w:vertAlign w:val="subscript"/>
        </w:rPr>
        <w:t>Amp</w:t>
      </w:r>
      <w:proofErr w:type="spellEnd"/>
      <w:r w:rsidRPr="00C819D0">
        <w:rPr>
          <w:rFonts w:eastAsiaTheme="minorHAnsi"/>
          <w:sz w:val="22"/>
          <w:szCs w:val="22"/>
        </w:rPr>
        <w:t xml:space="preserve">. An implementation based on </w:t>
      </w:r>
      <w:r w:rsidRPr="00C819D0">
        <w:rPr>
          <w:rFonts w:eastAsiaTheme="minorHAnsi"/>
          <w:b/>
          <w:bCs/>
          <w:sz w:val="22"/>
          <w:szCs w:val="22"/>
        </w:rPr>
        <w:fldChar w:fldCharType="begin"/>
      </w:r>
      <w:r w:rsidRPr="00C819D0">
        <w:rPr>
          <w:rFonts w:eastAsiaTheme="minorHAnsi"/>
          <w:sz w:val="22"/>
          <w:szCs w:val="22"/>
        </w:rPr>
        <w:instrText xml:space="preserve"> REF _Ref296149 \h  \* MERGEFORMAT </w:instrText>
      </w:r>
      <w:r w:rsidRPr="00C819D0">
        <w:rPr>
          <w:rFonts w:eastAsiaTheme="minorHAnsi"/>
          <w:b/>
          <w:bCs/>
          <w:sz w:val="22"/>
          <w:szCs w:val="22"/>
        </w:rPr>
      </w:r>
      <w:r w:rsidRPr="00C819D0">
        <w:rPr>
          <w:rFonts w:eastAsiaTheme="minorHAnsi"/>
          <w:b/>
          <w:bCs/>
          <w:sz w:val="22"/>
          <w:szCs w:val="22"/>
        </w:rPr>
        <w:fldChar w:fldCharType="separate"/>
      </w:r>
      <w:r w:rsidRPr="00C819D0">
        <w:rPr>
          <w:sz w:val="22"/>
          <w:szCs w:val="22"/>
        </w:rPr>
        <w:t xml:space="preserve">Figure </w:t>
      </w:r>
      <w:r w:rsidRPr="00C819D0">
        <w:rPr>
          <w:noProof/>
          <w:sz w:val="22"/>
          <w:szCs w:val="22"/>
        </w:rPr>
        <w:t>1</w:t>
      </w:r>
      <w:r w:rsidRPr="00C819D0">
        <w:rPr>
          <w:rFonts w:eastAsiaTheme="minorHAnsi"/>
          <w:b/>
          <w:bCs/>
          <w:sz w:val="22"/>
          <w:szCs w:val="22"/>
        </w:rPr>
        <w:fldChar w:fldCharType="end"/>
      </w:r>
      <w:r w:rsidRPr="00C819D0">
        <w:rPr>
          <w:rFonts w:eastAsiaTheme="minorHAnsi"/>
          <w:sz w:val="22"/>
          <w:szCs w:val="22"/>
        </w:rPr>
        <w:t xml:space="preserve"> can support a total power of </w:t>
      </w:r>
      <w:proofErr w:type="spellStart"/>
      <w:r w:rsidRPr="00C819D0">
        <w:rPr>
          <w:rFonts w:eastAsiaTheme="minorHAnsi"/>
          <w:sz w:val="22"/>
          <w:szCs w:val="22"/>
        </w:rPr>
        <w:t>P</w:t>
      </w:r>
      <w:r w:rsidRPr="00C819D0">
        <w:rPr>
          <w:rFonts w:eastAsiaTheme="minorHAnsi"/>
          <w:sz w:val="22"/>
          <w:szCs w:val="22"/>
          <w:vertAlign w:val="subscript"/>
        </w:rPr>
        <w:t>Total</w:t>
      </w:r>
      <w:proofErr w:type="spellEnd"/>
      <w:r w:rsidRPr="00C819D0">
        <w:rPr>
          <w:rFonts w:eastAsiaTheme="minorHAnsi"/>
          <w:sz w:val="22"/>
          <w:szCs w:val="22"/>
        </w:rPr>
        <w:t xml:space="preserve">=4 </w:t>
      </w:r>
      <w:proofErr w:type="spellStart"/>
      <w:r w:rsidRPr="00C819D0">
        <w:rPr>
          <w:rFonts w:eastAsiaTheme="minorHAnsi"/>
          <w:sz w:val="22"/>
          <w:szCs w:val="22"/>
        </w:rPr>
        <w:t>P</w:t>
      </w:r>
      <w:r w:rsidRPr="00C819D0">
        <w:rPr>
          <w:rFonts w:eastAsiaTheme="minorHAnsi"/>
          <w:sz w:val="22"/>
          <w:szCs w:val="22"/>
          <w:vertAlign w:val="subscript"/>
        </w:rPr>
        <w:t>Amp</w:t>
      </w:r>
      <w:proofErr w:type="spellEnd"/>
      <w:r w:rsidRPr="00C819D0">
        <w:rPr>
          <w:rFonts w:eastAsiaTheme="minorHAnsi"/>
          <w:sz w:val="22"/>
          <w:szCs w:val="22"/>
        </w:rPr>
        <w:t>.</w:t>
      </w:r>
    </w:p>
    <w:p w14:paraId="33A3089C" w14:textId="4618C6E6" w:rsidR="0045162A" w:rsidRDefault="00493F7A" w:rsidP="00C819D0">
      <w:pPr>
        <w:keepNext/>
        <w:spacing w:line="276" w:lineRule="auto"/>
        <w:contextualSpacing/>
        <w:jc w:val="center"/>
      </w:pPr>
      <w:r>
        <w:object w:dxaOrig="4846" w:dyaOrig="4988" w14:anchorId="2F99D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152.25pt" o:ole="">
            <v:imagedata r:id="rId11" o:title=""/>
          </v:shape>
          <o:OLEObject Type="Embed" ProgID="Visio.Drawing.15" ShapeID="_x0000_i1025" DrawAspect="Content" ObjectID="_1611735863" r:id="rId12"/>
        </w:object>
      </w:r>
    </w:p>
    <w:p w14:paraId="108E1EEB" w14:textId="77777777" w:rsidR="0045162A" w:rsidRDefault="0045162A" w:rsidP="00C819D0">
      <w:pPr>
        <w:pStyle w:val="Caption"/>
        <w:spacing w:line="276" w:lineRule="auto"/>
        <w:contextualSpacing/>
        <w:jc w:val="center"/>
        <w:rPr>
          <w:rFonts w:ascii="Times" w:hAnsi="Times" w:cs="Times"/>
          <w:sz w:val="22"/>
        </w:rPr>
      </w:pPr>
      <w:bookmarkStart w:id="2" w:name="_Ref29614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Typical MIMO transmitter with equally rated (</w:t>
      </w:r>
      <w:proofErr w:type="spellStart"/>
      <w:r>
        <w:t>P</w:t>
      </w:r>
      <w:r w:rsidRPr="00552DA4">
        <w:rPr>
          <w:vertAlign w:val="subscript"/>
        </w:rPr>
        <w:t>A</w:t>
      </w:r>
      <w:r>
        <w:rPr>
          <w:vertAlign w:val="subscript"/>
        </w:rPr>
        <w:t>mp</w:t>
      </w:r>
      <w:proofErr w:type="spellEnd"/>
      <w:r>
        <w:t>) power amplifier per transmit chain</w:t>
      </w:r>
    </w:p>
    <w:p w14:paraId="71DC9183" w14:textId="77777777" w:rsidR="006A7864" w:rsidRDefault="006A7864" w:rsidP="00C819D0">
      <w:pPr>
        <w:pStyle w:val="text"/>
        <w:contextualSpacing/>
      </w:pPr>
    </w:p>
    <w:p w14:paraId="667181FA" w14:textId="6F357BD5" w:rsidR="0045162A" w:rsidRPr="00D47833" w:rsidRDefault="0045162A" w:rsidP="00D47833">
      <w:pPr>
        <w:pStyle w:val="text"/>
        <w:spacing w:line="276" w:lineRule="auto"/>
        <w:ind w:firstLine="288"/>
        <w:contextualSpacing/>
        <w:rPr>
          <w:sz w:val="22"/>
        </w:rPr>
      </w:pPr>
      <w:r w:rsidRPr="00D47833">
        <w:rPr>
          <w:sz w:val="22"/>
        </w:rPr>
        <w:t>Assuming FPNC capability, uplink transmission can support all ranks, and if required, with full power capability. For instance, for rank 1 transmission, as shown in Table 1, TPMIs {0, 1, 2, 3} enable antenna selection, while TPMIs {0, 4, 12} can be utilized for UE power saving, if needed. Therefore, while antenna selection is supported, the power saving capability of UE by turning OFF/ON of RF chains are maintained.</w:t>
      </w:r>
    </w:p>
    <w:p w14:paraId="530E5617" w14:textId="77777777" w:rsidR="00C819D0" w:rsidRPr="00D47833" w:rsidRDefault="00C819D0" w:rsidP="00D47833">
      <w:pPr>
        <w:pStyle w:val="text"/>
        <w:spacing w:line="276" w:lineRule="auto"/>
        <w:ind w:firstLine="180"/>
        <w:contextualSpacing/>
        <w:rPr>
          <w:sz w:val="22"/>
        </w:rPr>
      </w:pPr>
    </w:p>
    <w:p w14:paraId="2B94366D" w14:textId="4408ABA7" w:rsidR="0045162A" w:rsidRPr="00D47833" w:rsidRDefault="0045162A" w:rsidP="00D47833">
      <w:pPr>
        <w:pStyle w:val="text"/>
        <w:spacing w:line="276" w:lineRule="auto"/>
        <w:ind w:firstLine="180"/>
        <w:contextualSpacing/>
        <w:rPr>
          <w:sz w:val="22"/>
        </w:rPr>
      </w:pPr>
      <w:r w:rsidRPr="00D47833">
        <w:rPr>
          <w:sz w:val="22"/>
        </w:rPr>
        <w:t>However, in the case of PNC or NC, full power utilization may not be achieved due to introduced codebook subset restriction that prevents a UE to operate at full power in certain scenarios. For example, in the NC mode, none of the NC TMPIs would allow a full uplink power utilization. For example, for a UE Power Class 3 (</w:t>
      </w:r>
      <w:proofErr w:type="spellStart"/>
      <w:r w:rsidRPr="00D47833">
        <w:rPr>
          <w:sz w:val="22"/>
        </w:rPr>
        <w:t>P</w:t>
      </w:r>
      <w:r w:rsidRPr="00D47833">
        <w:rPr>
          <w:sz w:val="22"/>
          <w:vertAlign w:val="subscript"/>
        </w:rPr>
        <w:t>Max</w:t>
      </w:r>
      <w:proofErr w:type="spellEnd"/>
      <w:r w:rsidRPr="00D47833">
        <w:rPr>
          <w:sz w:val="22"/>
        </w:rPr>
        <w:t xml:space="preserve">=23dBm), if the power rating of each UE PA is assumed </w:t>
      </w:r>
      <w:proofErr w:type="spellStart"/>
      <w:r w:rsidRPr="00D47833">
        <w:rPr>
          <w:sz w:val="22"/>
        </w:rPr>
        <w:t>P</w:t>
      </w:r>
      <w:r w:rsidRPr="00D47833">
        <w:rPr>
          <w:sz w:val="22"/>
          <w:vertAlign w:val="subscript"/>
        </w:rPr>
        <w:t>Amp</w:t>
      </w:r>
      <w:proofErr w:type="spellEnd"/>
      <w:r w:rsidRPr="00D47833">
        <w:rPr>
          <w:sz w:val="22"/>
        </w:rPr>
        <w:t xml:space="preserve">=17dBm, the total output power cannot attain the expected full power, e.g., 23 dBm. However, if a MIMO transmitter employs full rated PAs, i.e., </w:t>
      </w:r>
      <w:proofErr w:type="spellStart"/>
      <w:r w:rsidRPr="00D47833">
        <w:rPr>
          <w:sz w:val="22"/>
        </w:rPr>
        <w:t>P</w:t>
      </w:r>
      <w:r w:rsidRPr="00D47833">
        <w:rPr>
          <w:sz w:val="22"/>
          <w:vertAlign w:val="subscript"/>
        </w:rPr>
        <w:t>Amp</w:t>
      </w:r>
      <w:proofErr w:type="spellEnd"/>
      <w:r w:rsidRPr="00D47833">
        <w:rPr>
          <w:sz w:val="22"/>
        </w:rPr>
        <w:t>=</w:t>
      </w:r>
      <w:proofErr w:type="spellStart"/>
      <w:r w:rsidRPr="00D47833">
        <w:rPr>
          <w:sz w:val="22"/>
        </w:rPr>
        <w:t>P</w:t>
      </w:r>
      <w:r w:rsidRPr="00D47833">
        <w:rPr>
          <w:sz w:val="22"/>
          <w:vertAlign w:val="subscript"/>
        </w:rPr>
        <w:t>Max</w:t>
      </w:r>
      <w:proofErr w:type="spellEnd"/>
      <w:r w:rsidRPr="00D47833">
        <w:rPr>
          <w:sz w:val="22"/>
          <w:vertAlign w:val="subscript"/>
        </w:rPr>
        <w:t xml:space="preserve">, </w:t>
      </w:r>
      <w:r w:rsidRPr="00D47833">
        <w:rPr>
          <w:sz w:val="22"/>
        </w:rPr>
        <w:t xml:space="preserve">on each TX chain, it can always support delivery of the total output power of </w:t>
      </w:r>
      <w:proofErr w:type="spellStart"/>
      <w:r w:rsidRPr="00D47833">
        <w:rPr>
          <w:sz w:val="22"/>
        </w:rPr>
        <w:t>P</w:t>
      </w:r>
      <w:r w:rsidRPr="00D47833">
        <w:rPr>
          <w:sz w:val="22"/>
          <w:vertAlign w:val="subscript"/>
        </w:rPr>
        <w:t>Max</w:t>
      </w:r>
      <w:proofErr w:type="spellEnd"/>
      <w:r w:rsidRPr="00D47833">
        <w:rPr>
          <w:sz w:val="22"/>
        </w:rPr>
        <w:t xml:space="preserve">, regardless of choice of precoder. Alternatively, if a subset of TX chains is equipped with full rated PAs, it maybe also possible to support total output power of </w:t>
      </w:r>
      <w:proofErr w:type="spellStart"/>
      <w:r w:rsidRPr="00D47833">
        <w:rPr>
          <w:sz w:val="22"/>
        </w:rPr>
        <w:t>P</w:t>
      </w:r>
      <w:r w:rsidRPr="00D47833">
        <w:rPr>
          <w:sz w:val="22"/>
          <w:vertAlign w:val="subscript"/>
        </w:rPr>
        <w:t>Max</w:t>
      </w:r>
      <w:proofErr w:type="spellEnd"/>
      <w:r w:rsidRPr="00D47833">
        <w:rPr>
          <w:sz w:val="22"/>
        </w:rPr>
        <w:t xml:space="preserve"> if the outputs of some of TX chains are combined.</w:t>
      </w:r>
    </w:p>
    <w:p w14:paraId="1BADF34C" w14:textId="5F0A23EB" w:rsidR="00CE02BD" w:rsidRPr="00D47833" w:rsidRDefault="00CE02BD" w:rsidP="00D47833">
      <w:pPr>
        <w:pStyle w:val="text"/>
        <w:spacing w:line="276" w:lineRule="auto"/>
        <w:ind w:firstLine="180"/>
        <w:contextualSpacing/>
        <w:rPr>
          <w:b/>
          <w:bCs/>
          <w:sz w:val="22"/>
        </w:rPr>
      </w:pPr>
    </w:p>
    <w:p w14:paraId="2918D41B" w14:textId="00AB0654" w:rsidR="00CE02BD" w:rsidRPr="00D47833" w:rsidRDefault="00CE02BD" w:rsidP="00D47833">
      <w:pPr>
        <w:pStyle w:val="text"/>
        <w:spacing w:line="276" w:lineRule="auto"/>
        <w:ind w:firstLine="180"/>
        <w:contextualSpacing/>
        <w:rPr>
          <w:bCs/>
          <w:sz w:val="22"/>
        </w:rPr>
      </w:pPr>
      <w:r w:rsidRPr="00D47833">
        <w:rPr>
          <w:bCs/>
          <w:sz w:val="22"/>
        </w:rPr>
        <w:t>To address limited uplink TX power for PNC and NC capable UEs, five different solutions have been proposed</w:t>
      </w:r>
      <w:r w:rsidR="00D47833" w:rsidRPr="00D47833">
        <w:rPr>
          <w:bCs/>
          <w:sz w:val="22"/>
        </w:rPr>
        <w:t xml:space="preserve"> [2]</w:t>
      </w:r>
      <w:r w:rsidRPr="00D47833">
        <w:rPr>
          <w:bCs/>
          <w:sz w:val="22"/>
        </w:rPr>
        <w:t xml:space="preserve"> that we briefly review in the following</w:t>
      </w:r>
      <w:r w:rsidR="00D47833">
        <w:rPr>
          <w:bCs/>
          <w:sz w:val="22"/>
        </w:rPr>
        <w:t>.</w:t>
      </w:r>
    </w:p>
    <w:p w14:paraId="1F92D615" w14:textId="77777777" w:rsidR="00D47833" w:rsidRDefault="00D47833" w:rsidP="00606C68">
      <w:pPr>
        <w:pStyle w:val="text"/>
        <w:contextualSpacing/>
        <w:rPr>
          <w:rFonts w:ascii="Times" w:hAnsi="Times" w:cs="Times"/>
          <w:b/>
          <w:sz w:val="22"/>
          <w:highlight w:val="lightGray"/>
        </w:rPr>
      </w:pPr>
    </w:p>
    <w:p w14:paraId="766A0E67" w14:textId="77777777" w:rsidR="00D47833" w:rsidRDefault="00CE02BD" w:rsidP="00D47833">
      <w:pPr>
        <w:pStyle w:val="text"/>
        <w:spacing w:line="276" w:lineRule="auto"/>
        <w:contextualSpacing/>
        <w:rPr>
          <w:rFonts w:ascii="Times" w:hAnsi="Times" w:cs="Times"/>
          <w:b/>
          <w:sz w:val="22"/>
        </w:rPr>
      </w:pPr>
      <w:r w:rsidRPr="00D77791">
        <w:rPr>
          <w:rFonts w:ascii="Times" w:hAnsi="Times" w:cs="Times"/>
          <w:b/>
          <w:sz w:val="22"/>
          <w:highlight w:val="lightGray"/>
        </w:rPr>
        <w:t>Option 1: Refinement/adjustment of UL codebook is supported</w:t>
      </w:r>
    </w:p>
    <w:p w14:paraId="34E41242" w14:textId="2F820D65" w:rsidR="00CE02BD" w:rsidRPr="00D47833" w:rsidRDefault="00CE02BD" w:rsidP="00D47833">
      <w:pPr>
        <w:pStyle w:val="text"/>
        <w:spacing w:line="276" w:lineRule="auto"/>
        <w:contextualSpacing/>
        <w:rPr>
          <w:rFonts w:ascii="Times" w:hAnsi="Times" w:cs="Times"/>
          <w:b/>
          <w:sz w:val="22"/>
        </w:rPr>
      </w:pPr>
      <w:r>
        <w:rPr>
          <w:rFonts w:ascii="Times" w:hAnsi="Times" w:cs="Times"/>
          <w:sz w:val="22"/>
        </w:rPr>
        <w:t xml:space="preserve">For uplink MIMO transmission, precoding is a means to spread the information according to the configured layer. In other words, precoding is to select the desired transmission ports, and spread the transmission across them. Considering the recent agreement on full TX operation as a UE capability, a new definition of codebook subsets </w:t>
      </w:r>
      <w:r>
        <w:rPr>
          <w:rFonts w:ascii="Times" w:hAnsi="Times" w:cs="Times"/>
          <w:sz w:val="22"/>
        </w:rPr>
        <w:lastRenderedPageBreak/>
        <w:t>and/or scaling could potentially provide a solution, however a proper design of the codebook may need some additional information about power rating of each power amplifier, otherwise a mismatch may occur.</w:t>
      </w:r>
      <w:r w:rsidRPr="001D6C2F">
        <w:t xml:space="preserve"> </w:t>
      </w:r>
    </w:p>
    <w:p w14:paraId="2C9D4D10" w14:textId="77777777" w:rsidR="00CE02BD" w:rsidRPr="00D77791" w:rsidRDefault="00CE02BD" w:rsidP="00D47833">
      <w:pPr>
        <w:spacing w:after="0" w:line="276" w:lineRule="auto"/>
        <w:contextualSpacing/>
        <w:jc w:val="both"/>
        <w:rPr>
          <w:rFonts w:ascii="Times" w:hAnsi="Times" w:cs="Times"/>
          <w:b/>
          <w:sz w:val="22"/>
        </w:rPr>
      </w:pPr>
      <w:r w:rsidRPr="00D77791">
        <w:rPr>
          <w:rFonts w:ascii="Times" w:hAnsi="Times" w:cs="Times"/>
          <w:b/>
          <w:sz w:val="22"/>
          <w:highlight w:val="lightGray"/>
        </w:rPr>
        <w:t>Option 2: UE transparently apply a small cyclic or linear delay</w:t>
      </w:r>
    </w:p>
    <w:p w14:paraId="29A2258C" w14:textId="63578479" w:rsidR="00CE02BD" w:rsidRDefault="00CE02BD" w:rsidP="00D47833">
      <w:pPr>
        <w:spacing w:after="0" w:line="276" w:lineRule="auto"/>
        <w:contextualSpacing/>
        <w:jc w:val="both"/>
        <w:rPr>
          <w:rFonts w:ascii="Times" w:hAnsi="Times" w:cs="Times"/>
          <w:sz w:val="22"/>
        </w:rPr>
      </w:pPr>
      <w:r>
        <w:rPr>
          <w:rFonts w:ascii="Times" w:hAnsi="Times" w:cs="Times"/>
          <w:sz w:val="22"/>
        </w:rPr>
        <w:t>Since there is no definition on the expected level of impairments that restricts a UE from operating in FPNC to PNC and/or NC, it is not clear how effective this solution would be. Such solution</w:t>
      </w:r>
      <w:r w:rsidR="00D47833">
        <w:rPr>
          <w:rFonts w:ascii="Times" w:hAnsi="Times" w:cs="Times"/>
          <w:sz w:val="22"/>
        </w:rPr>
        <w:t>s</w:t>
      </w:r>
      <w:r>
        <w:rPr>
          <w:rFonts w:ascii="Times" w:hAnsi="Times" w:cs="Times"/>
          <w:sz w:val="22"/>
        </w:rPr>
        <w:t xml:space="preserve"> require extensive evaluations, and still its effectiveness may be limited. Moreover, solutions based on virtualization seem to defeat the whole purpose of the introduction of coherence capability by reversing the coherency consideration through antenna port combining.</w:t>
      </w:r>
    </w:p>
    <w:p w14:paraId="4C873151" w14:textId="77777777" w:rsidR="00CE02BD" w:rsidRDefault="00CE02BD" w:rsidP="00D47833">
      <w:pPr>
        <w:spacing w:after="0" w:line="276" w:lineRule="auto"/>
        <w:contextualSpacing/>
        <w:jc w:val="both"/>
        <w:rPr>
          <w:rFonts w:ascii="Times" w:hAnsi="Times" w:cs="Times"/>
          <w:sz w:val="22"/>
        </w:rPr>
      </w:pPr>
    </w:p>
    <w:p w14:paraId="797BD8DF" w14:textId="77777777" w:rsidR="00CE02BD" w:rsidRPr="00D77791" w:rsidRDefault="00CE02BD" w:rsidP="00D47833">
      <w:pPr>
        <w:spacing w:after="0" w:line="276" w:lineRule="auto"/>
        <w:contextualSpacing/>
        <w:jc w:val="both"/>
        <w:rPr>
          <w:rFonts w:ascii="Times" w:hAnsi="Times" w:cs="Times"/>
          <w:b/>
          <w:sz w:val="22"/>
        </w:rPr>
      </w:pPr>
      <w:r w:rsidRPr="00D77791">
        <w:rPr>
          <w:rFonts w:ascii="Times" w:hAnsi="Times" w:cs="Times"/>
          <w:b/>
          <w:sz w:val="22"/>
          <w:highlight w:val="lightGray"/>
        </w:rPr>
        <w:t>Option 3: Power control mechanism to be modified to support UL full power transmission without precluding the use of full rated PA(s)</w:t>
      </w:r>
    </w:p>
    <w:p w14:paraId="1F3BEB29" w14:textId="77777777" w:rsidR="00CE02BD" w:rsidRDefault="00CE02BD" w:rsidP="00D47833">
      <w:pPr>
        <w:spacing w:after="0" w:line="276" w:lineRule="auto"/>
        <w:contextualSpacing/>
        <w:jc w:val="both"/>
        <w:rPr>
          <w:rFonts w:ascii="Times" w:hAnsi="Times" w:cs="Times"/>
          <w:sz w:val="22"/>
        </w:rPr>
      </w:pPr>
      <w:r>
        <w:rPr>
          <w:rFonts w:ascii="Times" w:hAnsi="Times" w:cs="Times"/>
          <w:sz w:val="22"/>
        </w:rPr>
        <w:t>Considering the recent agreement to support full TX power with multiple power amplifiers, Option 3 seems to be a viable solution that can effectively support UL full power transmission for all levels of UE coherence capability. However, this may still require some guidance from RAN4 for establishing a basic framework on supported UE RF architectures, and whether the solution could be</w:t>
      </w:r>
      <w:r w:rsidRPr="004F0842">
        <w:rPr>
          <w:rFonts w:ascii="Times" w:hAnsi="Times" w:cs="Times"/>
          <w:sz w:val="22"/>
        </w:rPr>
        <w:t xml:space="preserve"> applie</w:t>
      </w:r>
      <w:r>
        <w:rPr>
          <w:rFonts w:ascii="Times" w:hAnsi="Times" w:cs="Times"/>
          <w:sz w:val="22"/>
        </w:rPr>
        <w:t xml:space="preserve">d </w:t>
      </w:r>
      <w:r w:rsidRPr="004F0842">
        <w:rPr>
          <w:rFonts w:ascii="Times" w:hAnsi="Times" w:cs="Times"/>
          <w:sz w:val="22"/>
        </w:rPr>
        <w:t xml:space="preserve">for the entire codebook or </w:t>
      </w:r>
      <w:r>
        <w:rPr>
          <w:rFonts w:ascii="Times" w:hAnsi="Times" w:cs="Times"/>
          <w:sz w:val="22"/>
        </w:rPr>
        <w:t xml:space="preserve">a </w:t>
      </w:r>
      <w:r w:rsidRPr="004F0842">
        <w:rPr>
          <w:rFonts w:ascii="Times" w:hAnsi="Times" w:cs="Times"/>
          <w:sz w:val="22"/>
        </w:rPr>
        <w:t xml:space="preserve">subset of </w:t>
      </w:r>
      <w:r>
        <w:rPr>
          <w:rFonts w:ascii="Times" w:hAnsi="Times" w:cs="Times"/>
          <w:sz w:val="22"/>
        </w:rPr>
        <w:t>it.</w:t>
      </w:r>
      <w:r w:rsidRPr="004F0842">
        <w:rPr>
          <w:rFonts w:ascii="Times" w:hAnsi="Times" w:cs="Times"/>
          <w:sz w:val="22"/>
        </w:rPr>
        <w:t xml:space="preserve"> </w:t>
      </w:r>
    </w:p>
    <w:p w14:paraId="58B93904" w14:textId="77777777" w:rsidR="00CE02BD" w:rsidRDefault="00CE02BD" w:rsidP="00D47833">
      <w:pPr>
        <w:spacing w:after="0" w:line="276" w:lineRule="auto"/>
        <w:contextualSpacing/>
        <w:jc w:val="both"/>
        <w:rPr>
          <w:rFonts w:ascii="Times" w:hAnsi="Times" w:cs="Times"/>
          <w:sz w:val="22"/>
        </w:rPr>
      </w:pPr>
    </w:p>
    <w:p w14:paraId="54CD4656" w14:textId="77777777" w:rsidR="00CE02BD" w:rsidRPr="00D77791" w:rsidRDefault="00CE02BD" w:rsidP="00D47833">
      <w:pPr>
        <w:spacing w:after="0" w:line="276" w:lineRule="auto"/>
        <w:contextualSpacing/>
        <w:jc w:val="both"/>
        <w:rPr>
          <w:rFonts w:ascii="Times" w:hAnsi="Times" w:cs="Times"/>
          <w:b/>
          <w:sz w:val="22"/>
        </w:rPr>
      </w:pPr>
      <w:r w:rsidRPr="00D77791">
        <w:rPr>
          <w:rFonts w:ascii="Times" w:hAnsi="Times" w:cs="Times"/>
          <w:b/>
          <w:sz w:val="22"/>
          <w:highlight w:val="lightGray"/>
        </w:rPr>
        <w:t>Option 4: Up to UE implementation (no specification impact)</w:t>
      </w:r>
    </w:p>
    <w:p w14:paraId="6210430E" w14:textId="77777777" w:rsidR="00CE02BD" w:rsidRDefault="00CE02BD" w:rsidP="00D47833">
      <w:pPr>
        <w:spacing w:after="0" w:line="276" w:lineRule="auto"/>
        <w:contextualSpacing/>
        <w:jc w:val="both"/>
        <w:rPr>
          <w:rFonts w:ascii="Times" w:hAnsi="Times" w:cs="Times"/>
          <w:sz w:val="22"/>
        </w:rPr>
      </w:pPr>
      <w:r>
        <w:rPr>
          <w:rFonts w:ascii="Times" w:hAnsi="Times" w:cs="Times"/>
          <w:sz w:val="22"/>
        </w:rPr>
        <w:t>Given the shortcomings and obstacles, it seems reasonable that</w:t>
      </w:r>
      <w:r w:rsidRPr="00F361EB">
        <w:t xml:space="preserve"> </w:t>
      </w:r>
      <w:bookmarkStart w:id="3" w:name="_Hlk528661836"/>
      <w:r w:rsidRPr="00F361EB">
        <w:rPr>
          <w:rFonts w:ascii="Times" w:hAnsi="Times" w:cs="Times"/>
          <w:sz w:val="22"/>
        </w:rPr>
        <w:t xml:space="preserve">full power transmission for </w:t>
      </w:r>
      <w:r>
        <w:rPr>
          <w:rFonts w:ascii="Times" w:hAnsi="Times" w:cs="Times"/>
          <w:sz w:val="22"/>
        </w:rPr>
        <w:t xml:space="preserve">NC and PNC </w:t>
      </w:r>
      <w:r w:rsidRPr="00F361EB">
        <w:rPr>
          <w:rFonts w:ascii="Times" w:hAnsi="Times" w:cs="Times"/>
          <w:sz w:val="22"/>
        </w:rPr>
        <w:t>UEs</w:t>
      </w:r>
      <w:r>
        <w:rPr>
          <w:rFonts w:ascii="Times" w:hAnsi="Times" w:cs="Times"/>
          <w:sz w:val="22"/>
        </w:rPr>
        <w:t xml:space="preserve"> to be left to UE implementation.</w:t>
      </w:r>
      <w:bookmarkEnd w:id="3"/>
      <w:r>
        <w:rPr>
          <w:rFonts w:ascii="Times" w:hAnsi="Times" w:cs="Times"/>
          <w:sz w:val="22"/>
        </w:rPr>
        <w:t xml:space="preserve"> As such, if a UE implementation supports one or more f</w:t>
      </w:r>
      <w:r w:rsidRPr="006732F2">
        <w:rPr>
          <w:rFonts w:ascii="Times" w:hAnsi="Times" w:cs="Times"/>
          <w:sz w:val="22"/>
        </w:rPr>
        <w:t>ull</w:t>
      </w:r>
      <w:r>
        <w:rPr>
          <w:rFonts w:ascii="Times" w:hAnsi="Times" w:cs="Times"/>
          <w:sz w:val="22"/>
        </w:rPr>
        <w:t>y</w:t>
      </w:r>
      <w:r w:rsidRPr="006732F2">
        <w:rPr>
          <w:rFonts w:ascii="Times" w:hAnsi="Times" w:cs="Times"/>
          <w:sz w:val="22"/>
        </w:rPr>
        <w:t xml:space="preserve"> rated PA</w:t>
      </w:r>
      <w:r>
        <w:rPr>
          <w:rFonts w:ascii="Times" w:hAnsi="Times" w:cs="Times"/>
          <w:sz w:val="22"/>
        </w:rPr>
        <w:t>s, then it could achieve the full power transmission state in all or some of cases.</w:t>
      </w:r>
    </w:p>
    <w:p w14:paraId="24E96CEB" w14:textId="77777777" w:rsidR="00CE02BD" w:rsidRDefault="00CE02BD" w:rsidP="00D47833">
      <w:pPr>
        <w:spacing w:after="0" w:line="276" w:lineRule="auto"/>
        <w:contextualSpacing/>
        <w:jc w:val="both"/>
        <w:rPr>
          <w:rFonts w:ascii="Times" w:hAnsi="Times" w:cs="Times"/>
          <w:sz w:val="22"/>
        </w:rPr>
      </w:pPr>
      <w:r>
        <w:rPr>
          <w:rFonts w:ascii="Times" w:hAnsi="Times" w:cs="Times"/>
          <w:sz w:val="22"/>
        </w:rPr>
        <w:t xml:space="preserve"> </w:t>
      </w:r>
    </w:p>
    <w:p w14:paraId="2A043E60" w14:textId="77777777" w:rsidR="00CE02BD" w:rsidRPr="00D77791" w:rsidRDefault="00CE02BD" w:rsidP="00D47833">
      <w:pPr>
        <w:spacing w:after="0" w:line="276" w:lineRule="auto"/>
        <w:contextualSpacing/>
        <w:jc w:val="both"/>
        <w:rPr>
          <w:rFonts w:ascii="Times" w:hAnsi="Times" w:cs="Times"/>
          <w:b/>
          <w:sz w:val="22"/>
          <w:highlight w:val="lightGray"/>
        </w:rPr>
      </w:pPr>
      <w:r w:rsidRPr="00D77791">
        <w:rPr>
          <w:rFonts w:ascii="Times" w:hAnsi="Times" w:cs="Times"/>
          <w:b/>
          <w:sz w:val="22"/>
          <w:highlight w:val="lightGray"/>
        </w:rPr>
        <w:t xml:space="preserve">Option 5: Power compensation for the precoders with 0 entries by introducing </w:t>
      </w:r>
      <w:r w:rsidRPr="00D77791">
        <w:rPr>
          <w:rFonts w:ascii="Times" w:hAnsi="Times" w:cs="Times"/>
          <w:b/>
          <w:i/>
          <w:sz w:val="22"/>
          <w:highlight w:val="lightGray"/>
        </w:rPr>
        <w:t>α</w:t>
      </w:r>
      <w:r w:rsidRPr="00D77791">
        <w:rPr>
          <w:rFonts w:ascii="Times" w:hAnsi="Times" w:cs="Times"/>
          <w:b/>
          <w:i/>
          <w:sz w:val="22"/>
          <w:highlight w:val="lightGray"/>
          <w:vertAlign w:val="subscript"/>
        </w:rPr>
        <w:t>Rel-16</w:t>
      </w:r>
    </w:p>
    <w:p w14:paraId="224CA8B4" w14:textId="77777777" w:rsidR="00493F7A" w:rsidRDefault="00CE02BD" w:rsidP="00D47833">
      <w:pPr>
        <w:spacing w:after="0" w:line="276" w:lineRule="auto"/>
        <w:contextualSpacing/>
        <w:jc w:val="both"/>
        <w:rPr>
          <w:rFonts w:ascii="Times" w:hAnsi="Times" w:cs="Times"/>
          <w:sz w:val="22"/>
        </w:rPr>
      </w:pPr>
      <w:r>
        <w:rPr>
          <w:rFonts w:ascii="Times" w:hAnsi="Times" w:cs="Times"/>
          <w:sz w:val="22"/>
        </w:rPr>
        <w:t xml:space="preserve">This is essentially a combination of Options 1 and 3 that could also provide a </w:t>
      </w:r>
      <w:proofErr w:type="gramStart"/>
      <w:r>
        <w:rPr>
          <w:rFonts w:ascii="Times" w:hAnsi="Times" w:cs="Times"/>
          <w:sz w:val="22"/>
        </w:rPr>
        <w:t>sufficient</w:t>
      </w:r>
      <w:proofErr w:type="gramEnd"/>
      <w:r>
        <w:rPr>
          <w:rFonts w:ascii="Times" w:hAnsi="Times" w:cs="Times"/>
          <w:sz w:val="22"/>
        </w:rPr>
        <w:t xml:space="preserve"> solution to attain full TX power. </w:t>
      </w:r>
    </w:p>
    <w:p w14:paraId="3F725AD4" w14:textId="77777777" w:rsidR="005B385E" w:rsidRDefault="005B385E" w:rsidP="00493F7A">
      <w:pPr>
        <w:spacing w:after="0" w:line="276" w:lineRule="auto"/>
        <w:contextualSpacing/>
        <w:jc w:val="both"/>
      </w:pPr>
    </w:p>
    <w:p w14:paraId="6AA7BBBF" w14:textId="5FF56B8C" w:rsidR="00E07841" w:rsidRPr="005B385E" w:rsidRDefault="005B385E" w:rsidP="005B385E">
      <w:pPr>
        <w:spacing w:after="0" w:line="276" w:lineRule="auto"/>
        <w:contextualSpacing/>
        <w:jc w:val="center"/>
        <w:rPr>
          <w:rFonts w:eastAsia="Times New Roman"/>
          <w:b/>
          <w:lang w:val="en-US"/>
        </w:rPr>
      </w:pPr>
      <w:r w:rsidRPr="005B385E">
        <w:rPr>
          <w:b/>
        </w:rPr>
        <w:t>T</w:t>
      </w:r>
      <w:r w:rsidR="00A37A35" w:rsidRPr="005B385E">
        <w:rPr>
          <w:b/>
        </w:rPr>
        <w:t xml:space="preserve">able 1 - </w:t>
      </w:r>
      <w:r w:rsidR="00E07841" w:rsidRPr="005B385E">
        <w:rPr>
          <w:b/>
        </w:rPr>
        <w:t xml:space="preserve">Precoding matrix </w:t>
      </w:r>
      <w:r w:rsidR="00E07841" w:rsidRPr="005B385E">
        <w:rPr>
          <w:rFonts w:eastAsia="Times New Roman"/>
          <w:b/>
          <w:position w:val="-6"/>
          <w:lang w:val="en-US"/>
        </w:rPr>
        <w:object w:dxaOrig="255" w:dyaOrig="240" w14:anchorId="0A814A65">
          <v:shape id="_x0000_i1026" type="#_x0000_t75" style="width:12.75pt;height:12pt" o:ole="">
            <v:imagedata r:id="rId13" o:title=""/>
          </v:shape>
          <o:OLEObject Type="Embed" ProgID="Equation.3" ShapeID="_x0000_i1026" DrawAspect="Content" ObjectID="_1611735864" r:id="rId14"/>
        </w:object>
      </w:r>
      <w:r w:rsidR="00E07841" w:rsidRPr="005B385E">
        <w:rPr>
          <w:b/>
        </w:rPr>
        <w:t xml:space="preserve"> for single-layer transmission using </w:t>
      </w:r>
      <w:r>
        <w:rPr>
          <w:b/>
        </w:rPr>
        <w:t>4</w:t>
      </w:r>
      <w:r w:rsidR="00E07841" w:rsidRPr="005B385E">
        <w:rPr>
          <w:b/>
        </w:rPr>
        <w:t xml:space="preserve"> antenna ports with transform precoding disabled</w:t>
      </w:r>
    </w:p>
    <w:tbl>
      <w:tblPr>
        <w:tblW w:w="0" w:type="auto"/>
        <w:jc w:val="center"/>
        <w:tblLook w:val="01E0" w:firstRow="1" w:lastRow="1" w:firstColumn="1" w:lastColumn="1" w:noHBand="0" w:noVBand="0"/>
      </w:tblPr>
      <w:tblGrid>
        <w:gridCol w:w="1061"/>
        <w:gridCol w:w="867"/>
        <w:gridCol w:w="867"/>
        <w:gridCol w:w="867"/>
        <w:gridCol w:w="867"/>
        <w:gridCol w:w="828"/>
        <w:gridCol w:w="867"/>
        <w:gridCol w:w="828"/>
        <w:gridCol w:w="867"/>
      </w:tblGrid>
      <w:tr w:rsidR="00E07841" w:rsidRPr="00493F7A" w14:paraId="2424C4AC"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DA7304" w14:textId="77777777" w:rsidR="00E07841" w:rsidRPr="00493F7A" w:rsidRDefault="00E07841" w:rsidP="00C819D0">
            <w:pPr>
              <w:pStyle w:val="TAH"/>
              <w:spacing w:line="276" w:lineRule="auto"/>
              <w:contextualSpacing/>
              <w:rPr>
                <w:rFonts w:eastAsia="Batang" w:cstheme="minorBidi"/>
                <w:sz w:val="16"/>
                <w:szCs w:val="22"/>
                <w:lang w:eastAsia="zh-CN"/>
              </w:rPr>
            </w:pPr>
            <w:bookmarkStart w:id="4" w:name="_Hlk500155670"/>
            <w:r w:rsidRPr="00493F7A">
              <w:rPr>
                <w:rFonts w:eastAsia="Batang"/>
                <w:sz w:val="16"/>
                <w:lang w:eastAsia="zh-CN"/>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A7B381F" w14:textId="77777777" w:rsidR="00E07841" w:rsidRPr="00493F7A" w:rsidRDefault="00E07841" w:rsidP="00C819D0">
            <w:pPr>
              <w:pStyle w:val="TAH"/>
              <w:spacing w:line="276" w:lineRule="auto"/>
              <w:contextualSpacing/>
              <w:rPr>
                <w:rFonts w:eastAsia="Batang"/>
                <w:sz w:val="16"/>
                <w:lang w:eastAsia="zh-CN"/>
              </w:rPr>
            </w:pPr>
            <w:r w:rsidRPr="00493F7A">
              <w:rPr>
                <w:rFonts w:eastAsia="Batang"/>
                <w:sz w:val="16"/>
                <w:lang w:eastAsia="zh-CN"/>
              </w:rPr>
              <w:object w:dxaOrig="270" w:dyaOrig="240" w14:anchorId="1D0FA9DC">
                <v:shape id="_x0000_i1027" type="#_x0000_t75" style="width:12.75pt;height:12pt" o:ole="">
                  <v:imagedata r:id="rId15" o:title=""/>
                </v:shape>
                <o:OLEObject Type="Embed" ProgID="Equation.3" ShapeID="_x0000_i1027" DrawAspect="Content" ObjectID="_1611735865" r:id="rId16"/>
              </w:object>
            </w:r>
            <w:r w:rsidRPr="00493F7A">
              <w:rPr>
                <w:rFonts w:eastAsia="Batang"/>
                <w:sz w:val="16"/>
                <w:lang w:eastAsia="zh-CN"/>
              </w:rPr>
              <w:br/>
              <w:t>(ordered from left to right in increasing order of TPMI index)</w:t>
            </w:r>
          </w:p>
        </w:tc>
      </w:tr>
      <w:tr w:rsidR="00E07841" w:rsidRPr="00493F7A" w14:paraId="4D70DA09"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9B1EF" w14:textId="77777777" w:rsidR="00E07841" w:rsidRPr="00493F7A" w:rsidRDefault="00E07841" w:rsidP="00C819D0">
            <w:pPr>
              <w:pStyle w:val="TAC"/>
              <w:spacing w:line="276" w:lineRule="auto"/>
              <w:contextualSpacing/>
              <w:rPr>
                <w:rFonts w:eastAsia="Times New Roman"/>
                <w:sz w:val="16"/>
                <w:lang w:eastAsia="zh-CN"/>
              </w:rPr>
            </w:pPr>
            <w:r w:rsidRPr="00493F7A">
              <w:rPr>
                <w:sz w:val="16"/>
                <w:lang w:eastAsia="zh-CN"/>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E12F" w14:textId="77777777" w:rsidR="00E07841" w:rsidRPr="00493F7A" w:rsidRDefault="00E07841" w:rsidP="00C819D0">
            <w:pPr>
              <w:pStyle w:val="TAC"/>
              <w:spacing w:line="276" w:lineRule="auto"/>
              <w:contextualSpacing/>
              <w:rPr>
                <w:rFonts w:eastAsiaTheme="minorHAnsi"/>
                <w:sz w:val="16"/>
                <w:lang w:eastAsia="zh-CN"/>
              </w:rPr>
            </w:pPr>
            <w:r w:rsidRPr="00493F7A">
              <w:rPr>
                <w:rFonts w:eastAsia="Times New Roman"/>
                <w:sz w:val="16"/>
                <w:lang w:eastAsia="zh-CN"/>
              </w:rPr>
              <w:object w:dxaOrig="510" w:dyaOrig="1215" w14:anchorId="7CF413FE">
                <v:shape id="_x0000_i1028" type="#_x0000_t75" style="width:24.75pt;height:60.75pt" o:ole="">
                  <v:imagedata r:id="rId17" o:title=""/>
                </v:shape>
                <o:OLEObject Type="Embed" ProgID="Equation.3" ShapeID="_x0000_i1028" DrawAspect="Content" ObjectID="_1611735866"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A0AAD3B"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3AAFE485">
                <v:shape id="_x0000_i1029" type="#_x0000_t75" style="width:24.75pt;height:60.75pt" o:ole="">
                  <v:imagedata r:id="rId19" o:title=""/>
                </v:shape>
                <o:OLEObject Type="Embed" ProgID="Equation.3" ShapeID="_x0000_i1029" DrawAspect="Content" ObjectID="_1611735867"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6C4C"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08DE95DD">
                <v:shape id="_x0000_i1030" type="#_x0000_t75" style="width:24.75pt;height:60.75pt" o:ole="">
                  <v:imagedata r:id="rId21" o:title=""/>
                </v:shape>
                <o:OLEObject Type="Embed" ProgID="Equation.3" ShapeID="_x0000_i1030" DrawAspect="Content" ObjectID="_1611735868"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CDBA4D6"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5E280711">
                <v:shape id="_x0000_i1031" type="#_x0000_t75" style="width:24.75pt;height:60.75pt" o:ole="">
                  <v:imagedata r:id="rId23" o:title=""/>
                </v:shape>
                <o:OLEObject Type="Embed" ProgID="Equation.3" ShapeID="_x0000_i1031" DrawAspect="Content" ObjectID="_1611735869"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4F57B8"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40A3F177">
                <v:shape id="_x0000_i1032" type="#_x0000_t75" style="width:24.75pt;height:60.75pt" o:ole="">
                  <v:imagedata r:id="rId25" o:title=""/>
                </v:shape>
                <o:OLEObject Type="Embed" ProgID="Equation.3" ShapeID="_x0000_i1032" DrawAspect="Content" ObjectID="_1611735870"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E50D9A"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615" w:dyaOrig="1215" w14:anchorId="6C733759">
                <v:shape id="_x0000_i1033" type="#_x0000_t75" style="width:30.75pt;height:60.75pt" o:ole="">
                  <v:imagedata r:id="rId27" o:title=""/>
                </v:shape>
                <o:OLEObject Type="Embed" ProgID="Equation.3" ShapeID="_x0000_i1033" DrawAspect="Content" ObjectID="_1611735871" r:id="rId2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AC08"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1B1F385C">
                <v:shape id="_x0000_i1034" type="#_x0000_t75" style="width:24.75pt;height:60.75pt" o:ole="">
                  <v:imagedata r:id="rId29" o:title=""/>
                </v:shape>
                <o:OLEObject Type="Embed" ProgID="Equation.3" ShapeID="_x0000_i1034" DrawAspect="Content" ObjectID="_1611735872" r:id="rId3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75A4"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645" w:dyaOrig="1215" w14:anchorId="17C1F1F9">
                <v:shape id="_x0000_i1035" type="#_x0000_t75" style="width:32.25pt;height:60.75pt" o:ole="">
                  <v:imagedata r:id="rId31" o:title=""/>
                </v:shape>
                <o:OLEObject Type="Embed" ProgID="Equation.3" ShapeID="_x0000_i1035" DrawAspect="Content" ObjectID="_1611735873" r:id="rId32"/>
              </w:object>
            </w:r>
          </w:p>
        </w:tc>
      </w:tr>
      <w:tr w:rsidR="00E07841" w:rsidRPr="00493F7A" w14:paraId="034DC0FB"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973B7" w14:textId="77777777" w:rsidR="00E07841" w:rsidRPr="00493F7A" w:rsidRDefault="00E07841" w:rsidP="00C819D0">
            <w:pPr>
              <w:pStyle w:val="TAC"/>
              <w:spacing w:line="276" w:lineRule="auto"/>
              <w:contextualSpacing/>
              <w:rPr>
                <w:sz w:val="16"/>
                <w:lang w:eastAsia="zh-CN"/>
              </w:rPr>
            </w:pPr>
            <w:r w:rsidRPr="00493F7A">
              <w:rPr>
                <w:sz w:val="16"/>
                <w:lang w:eastAsia="zh-CN"/>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93BA0"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066C9B0D">
                <v:shape id="_x0000_i1036" type="#_x0000_t75" style="width:24.75pt;height:60.75pt" o:ole="">
                  <v:imagedata r:id="rId33" o:title=""/>
                </v:shape>
                <o:OLEObject Type="Embed" ProgID="Equation.3" ShapeID="_x0000_i1036" DrawAspect="Content" ObjectID="_1611735874"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449D"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615" w:dyaOrig="1215" w14:anchorId="0F85010A">
                <v:shape id="_x0000_i1037" type="#_x0000_t75" style="width:30.75pt;height:60.75pt" o:ole="">
                  <v:imagedata r:id="rId35" o:title=""/>
                </v:shape>
                <o:OLEObject Type="Embed" ProgID="Equation.3" ShapeID="_x0000_i1037" DrawAspect="Content" ObjectID="_1611735875"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9720C8F"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510" w:dyaOrig="1215" w14:anchorId="7C85A2C3">
                <v:shape id="_x0000_i1038" type="#_x0000_t75" style="width:24.75pt;height:60.75pt" o:ole="">
                  <v:imagedata r:id="rId37" o:title=""/>
                </v:shape>
                <o:OLEObject Type="Embed" ProgID="Equation.3" ShapeID="_x0000_i1038" DrawAspect="Content" ObjectID="_1611735876"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7589567" w14:textId="77777777" w:rsidR="00E07841" w:rsidRPr="00493F7A" w:rsidRDefault="00E07841" w:rsidP="00C819D0">
            <w:pPr>
              <w:pStyle w:val="TAC"/>
              <w:spacing w:line="276" w:lineRule="auto"/>
              <w:contextualSpacing/>
              <w:rPr>
                <w:sz w:val="16"/>
                <w:lang w:eastAsia="zh-CN"/>
              </w:rPr>
            </w:pPr>
            <w:r w:rsidRPr="00493F7A">
              <w:rPr>
                <w:rFonts w:eastAsia="Times New Roman"/>
                <w:sz w:val="16"/>
                <w:lang w:eastAsia="zh-CN"/>
              </w:rPr>
              <w:object w:dxaOrig="645" w:dyaOrig="1215" w14:anchorId="2DC213A5">
                <v:shape id="_x0000_i1039" type="#_x0000_t75" style="width:32.25pt;height:60.75pt" o:ole="">
                  <v:imagedata r:id="rId39" o:title=""/>
                </v:shape>
                <o:OLEObject Type="Embed" ProgID="Equation.3" ShapeID="_x0000_i1039" DrawAspect="Content" ObjectID="_1611735877"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C6866E2"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480" w:dyaOrig="1215" w14:anchorId="09785DB6">
                <v:shape id="_x0000_i1040" type="#_x0000_t75" style="width:24.75pt;height:60.75pt" o:ole="">
                  <v:imagedata r:id="rId41" o:title=""/>
                </v:shape>
                <o:OLEObject Type="Embed" ProgID="Equation.3" ShapeID="_x0000_i1040" DrawAspect="Content" ObjectID="_1611735878"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DD78"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510" w:dyaOrig="1215" w14:anchorId="69AFCE81">
                <v:shape id="_x0000_i1041" type="#_x0000_t75" style="width:24.75pt;height:60.75pt" o:ole="">
                  <v:imagedata r:id="rId43" o:title=""/>
                </v:shape>
                <o:OLEObject Type="Embed" ProgID="Equation.3" ShapeID="_x0000_i1041" DrawAspect="Content" ObjectID="_1611735879"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920179E"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15" w:dyaOrig="1215" w14:anchorId="18921E55">
                <v:shape id="_x0000_i1042" type="#_x0000_t75" style="width:30.75pt;height:60.75pt" o:ole="">
                  <v:imagedata r:id="rId45" o:title=""/>
                </v:shape>
                <o:OLEObject Type="Embed" ProgID="Equation.3" ShapeID="_x0000_i1042" DrawAspect="Content" ObjectID="_1611735880" r:id="rId4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F36C5C4"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45" w:dyaOrig="1215" w14:anchorId="38A252D5">
                <v:shape id="_x0000_i1043" type="#_x0000_t75" style="width:32.25pt;height:60.75pt" o:ole="">
                  <v:imagedata r:id="rId47" o:title=""/>
                </v:shape>
                <o:OLEObject Type="Embed" ProgID="Equation.3" ShapeID="_x0000_i1043" DrawAspect="Content" ObjectID="_1611735881" r:id="rId48"/>
              </w:object>
            </w:r>
          </w:p>
        </w:tc>
      </w:tr>
      <w:tr w:rsidR="00E07841" w:rsidRPr="00493F7A" w14:paraId="5E62E7FF"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10951" w14:textId="77777777" w:rsidR="00E07841" w:rsidRPr="00493F7A" w:rsidRDefault="00E07841" w:rsidP="00C819D0">
            <w:pPr>
              <w:pStyle w:val="TAC"/>
              <w:spacing w:line="276" w:lineRule="auto"/>
              <w:contextualSpacing/>
              <w:rPr>
                <w:sz w:val="16"/>
                <w:lang w:eastAsia="zh-CN"/>
              </w:rPr>
            </w:pPr>
            <w:r w:rsidRPr="00493F7A">
              <w:rPr>
                <w:sz w:val="16"/>
                <w:lang w:eastAsia="zh-CN"/>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41BE"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525" w:dyaOrig="1215" w14:anchorId="465098CF">
                <v:shape id="_x0000_i1044" type="#_x0000_t75" style="width:26.25pt;height:60.75pt" o:ole="">
                  <v:imagedata r:id="rId49" o:title=""/>
                </v:shape>
                <o:OLEObject Type="Embed" ProgID="Equation.3" ShapeID="_x0000_i1044" DrawAspect="Content" ObjectID="_1611735882"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F449"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15" w:dyaOrig="1215" w14:anchorId="1D031877">
                <v:shape id="_x0000_i1045" type="#_x0000_t75" style="width:30.75pt;height:60.75pt" o:ole="">
                  <v:imagedata r:id="rId51" o:title=""/>
                </v:shape>
                <o:OLEObject Type="Embed" ProgID="Equation.3" ShapeID="_x0000_i1045" DrawAspect="Content" ObjectID="_1611735883"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F6D5B53"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1ACE49DA">
                <v:shape id="_x0000_i1046" type="#_x0000_t75" style="width:32.25pt;height:60.75pt" o:ole="">
                  <v:imagedata r:id="rId53" o:title=""/>
                </v:shape>
                <o:OLEObject Type="Embed" ProgID="Equation.3" ShapeID="_x0000_i1046" DrawAspect="Content" ObjectID="_1611735884"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5571F2"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45" w:dyaOrig="1215" w14:anchorId="76F3E1A5">
                <v:shape id="_x0000_i1047" type="#_x0000_t75" style="width:32.25pt;height:60.75pt" o:ole="">
                  <v:imagedata r:id="rId55" o:title=""/>
                </v:shape>
                <o:OLEObject Type="Embed" ProgID="Equation.3" ShapeID="_x0000_i1047" DrawAspect="Content" ObjectID="_1611735885"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6010EE1"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15" w:dyaOrig="1215" w14:anchorId="052472A7">
                <v:shape id="_x0000_i1048" type="#_x0000_t75" style="width:30.75pt;height:60.75pt" o:ole="">
                  <v:imagedata r:id="rId57" o:title=""/>
                </v:shape>
                <o:OLEObject Type="Embed" ProgID="Equation.3" ShapeID="_x0000_i1048" DrawAspect="Content" ObjectID="_1611735886"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1A4AFE5"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624F1FF2">
                <v:shape id="_x0000_i1049" type="#_x0000_t75" style="width:32.25pt;height:60.75pt" o:ole="">
                  <v:imagedata r:id="rId59" o:title=""/>
                </v:shape>
                <o:OLEObject Type="Embed" ProgID="Equation.3" ShapeID="_x0000_i1049" DrawAspect="Content" ObjectID="_1611735887"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5FCBC16"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15" w:dyaOrig="1215" w14:anchorId="1089785C">
                <v:shape id="_x0000_i1050" type="#_x0000_t75" style="width:30.75pt;height:60.75pt" o:ole="">
                  <v:imagedata r:id="rId61" o:title=""/>
                </v:shape>
                <o:OLEObject Type="Embed" ProgID="Equation.3" ShapeID="_x0000_i1050" DrawAspect="Content" ObjectID="_1611735888" r:id="rId6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C84DF1"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04DB150D">
                <v:shape id="_x0000_i1051" type="#_x0000_t75" style="width:32.25pt;height:60.75pt" o:ole="">
                  <v:imagedata r:id="rId63" o:title=""/>
                </v:shape>
                <o:OLEObject Type="Embed" ProgID="Equation.3" ShapeID="_x0000_i1051" DrawAspect="Content" ObjectID="_1611735889" r:id="rId64"/>
              </w:object>
            </w:r>
          </w:p>
        </w:tc>
      </w:tr>
      <w:tr w:rsidR="00E07841" w:rsidRPr="00493F7A" w14:paraId="45E1AABF"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B0C7D" w14:textId="77777777" w:rsidR="00E07841" w:rsidRPr="00493F7A" w:rsidRDefault="00E07841" w:rsidP="00C819D0">
            <w:pPr>
              <w:pStyle w:val="TAC"/>
              <w:spacing w:line="276" w:lineRule="auto"/>
              <w:contextualSpacing/>
              <w:rPr>
                <w:sz w:val="16"/>
                <w:lang w:eastAsia="zh-CN"/>
              </w:rPr>
            </w:pPr>
            <w:r w:rsidRPr="00493F7A">
              <w:rPr>
                <w:sz w:val="16"/>
                <w:lang w:eastAsia="zh-CN"/>
              </w:rPr>
              <w:t>24 – 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ACBA3"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63C34CF7">
                <v:shape id="_x0000_i1052" type="#_x0000_t75" style="width:32.25pt;height:60.75pt" o:ole="">
                  <v:imagedata r:id="rId65" o:title=""/>
                </v:shape>
                <o:OLEObject Type="Embed" ProgID="Equation.3" ShapeID="_x0000_i1052" DrawAspect="Content" ObjectID="_1611735890" r:id="rId6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F6D8"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566C973D">
                <v:shape id="_x0000_i1053" type="#_x0000_t75" style="width:32.25pt;height:60.75pt" o:ole="">
                  <v:imagedata r:id="rId67" o:title=""/>
                </v:shape>
                <o:OLEObject Type="Embed" ProgID="Equation.3" ShapeID="_x0000_i1053" DrawAspect="Content" ObjectID="_1611735891" r:id="rId6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9303"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1EF2F480">
                <v:shape id="_x0000_i1054" type="#_x0000_t75" style="width:32.25pt;height:60.75pt" o:ole="">
                  <v:imagedata r:id="rId69" o:title=""/>
                </v:shape>
                <o:OLEObject Type="Embed" ProgID="Equation.3" ShapeID="_x0000_i1054" DrawAspect="Content" ObjectID="_1611735892" r:id="rId7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AC11" w14:textId="77777777" w:rsidR="00E07841" w:rsidRPr="00493F7A" w:rsidRDefault="00E07841" w:rsidP="00C819D0">
            <w:pPr>
              <w:pStyle w:val="TAC"/>
              <w:spacing w:line="276" w:lineRule="auto"/>
              <w:contextualSpacing/>
              <w:rPr>
                <w:sz w:val="16"/>
                <w:lang w:eastAsia="zh-CN"/>
              </w:rPr>
            </w:pPr>
            <w:r w:rsidRPr="00493F7A">
              <w:rPr>
                <w:rFonts w:eastAsia="Times New Roman"/>
                <w:position w:val="-56"/>
                <w:sz w:val="16"/>
                <w:lang w:eastAsia="zh-CN"/>
              </w:rPr>
              <w:object w:dxaOrig="660" w:dyaOrig="1215" w14:anchorId="699A9735">
                <v:shape id="_x0000_i1055" type="#_x0000_t75" style="width:32.25pt;height:60.75pt" o:ole="">
                  <v:imagedata r:id="rId71" o:title=""/>
                </v:shape>
                <o:OLEObject Type="Embed" ProgID="Equation.3" ShapeID="_x0000_i1055" DrawAspect="Content" ObjectID="_1611735893" r:id="rId7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1ADB0B7" w14:textId="77777777" w:rsidR="00E07841" w:rsidRPr="00493F7A" w:rsidRDefault="00E07841" w:rsidP="00C819D0">
            <w:pPr>
              <w:pStyle w:val="TAC"/>
              <w:spacing w:line="276" w:lineRule="auto"/>
              <w:contextualSpacing/>
              <w:rPr>
                <w:sz w:val="16"/>
                <w:lang w:eastAsia="zh-CN"/>
              </w:rPr>
            </w:pPr>
            <w:r w:rsidRPr="00493F7A">
              <w:rPr>
                <w:rFonts w:eastAsia="Batang"/>
                <w:sz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11A38" w14:textId="77777777" w:rsidR="00E07841" w:rsidRPr="00493F7A" w:rsidRDefault="00E07841" w:rsidP="00C819D0">
            <w:pPr>
              <w:pStyle w:val="TAC"/>
              <w:spacing w:line="276" w:lineRule="auto"/>
              <w:contextualSpacing/>
              <w:rPr>
                <w:sz w:val="16"/>
                <w:lang w:eastAsia="zh-CN"/>
              </w:rPr>
            </w:pPr>
            <w:r w:rsidRPr="00493F7A">
              <w:rPr>
                <w:rFonts w:eastAsia="Batang"/>
                <w:sz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7E0F5" w14:textId="77777777" w:rsidR="00E07841" w:rsidRPr="00493F7A" w:rsidRDefault="00E07841" w:rsidP="00C819D0">
            <w:pPr>
              <w:pStyle w:val="TAC"/>
              <w:spacing w:line="276" w:lineRule="auto"/>
              <w:contextualSpacing/>
              <w:rPr>
                <w:sz w:val="16"/>
                <w:lang w:eastAsia="zh-CN"/>
              </w:rPr>
            </w:pPr>
            <w:r w:rsidRPr="00493F7A">
              <w:rPr>
                <w:rFonts w:eastAsia="Batang"/>
                <w:sz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DEAB3" w14:textId="77777777" w:rsidR="00E07841" w:rsidRPr="00493F7A" w:rsidRDefault="00E07841" w:rsidP="00C819D0">
            <w:pPr>
              <w:pStyle w:val="TAC"/>
              <w:spacing w:line="276" w:lineRule="auto"/>
              <w:contextualSpacing/>
              <w:rPr>
                <w:sz w:val="16"/>
                <w:lang w:eastAsia="zh-CN"/>
              </w:rPr>
            </w:pPr>
            <w:r w:rsidRPr="00493F7A">
              <w:rPr>
                <w:rFonts w:eastAsia="Batang"/>
                <w:sz w:val="16"/>
                <w:lang w:eastAsia="zh-CN"/>
              </w:rPr>
              <w:t>-</w:t>
            </w:r>
          </w:p>
        </w:tc>
        <w:bookmarkEnd w:id="4"/>
      </w:tr>
    </w:tbl>
    <w:p w14:paraId="2C383022" w14:textId="4CD02262" w:rsidR="00F22C66" w:rsidRDefault="00F22C66" w:rsidP="00C819D0">
      <w:pPr>
        <w:spacing w:after="0" w:line="276" w:lineRule="auto"/>
        <w:contextualSpacing/>
        <w:jc w:val="both"/>
        <w:rPr>
          <w:rFonts w:ascii="Times" w:hAnsi="Times" w:cs="Times"/>
          <w:sz w:val="22"/>
        </w:rPr>
      </w:pPr>
    </w:p>
    <w:p w14:paraId="3C8F793A" w14:textId="77777777" w:rsidR="0012613D" w:rsidRDefault="0012613D" w:rsidP="00C819D0">
      <w:pPr>
        <w:spacing w:after="0" w:line="276" w:lineRule="auto"/>
        <w:contextualSpacing/>
        <w:jc w:val="both"/>
        <w:rPr>
          <w:rFonts w:ascii="Times" w:hAnsi="Times" w:cs="Times"/>
          <w:sz w:val="22"/>
        </w:rPr>
      </w:pPr>
    </w:p>
    <w:p w14:paraId="4E630EC4" w14:textId="3A07FEAF" w:rsidR="00515C14" w:rsidRPr="00AE2707" w:rsidRDefault="00FA4E0B" w:rsidP="00C819D0">
      <w:pPr>
        <w:pStyle w:val="Heading1"/>
        <w:numPr>
          <w:ilvl w:val="0"/>
          <w:numId w:val="4"/>
        </w:numPr>
        <w:spacing w:before="0" w:after="0" w:line="276" w:lineRule="auto"/>
        <w:contextualSpacing/>
        <w:jc w:val="both"/>
        <w:rPr>
          <w:rFonts w:cs="Arial"/>
          <w:smallCaps/>
          <w:lang w:val="en-US"/>
        </w:rPr>
      </w:pPr>
      <w:r>
        <w:rPr>
          <w:rFonts w:cs="Arial"/>
          <w:smallCaps/>
          <w:lang w:val="en-US"/>
        </w:rPr>
        <w:t>Discussion</w:t>
      </w:r>
    </w:p>
    <w:p w14:paraId="07AF43DB" w14:textId="4BD61715" w:rsidR="000A57C8" w:rsidRPr="00606C68" w:rsidRDefault="003A4259" w:rsidP="00606C68">
      <w:pPr>
        <w:pStyle w:val="text"/>
        <w:ind w:firstLine="180"/>
        <w:contextualSpacing/>
        <w:rPr>
          <w:sz w:val="22"/>
          <w:szCs w:val="22"/>
        </w:rPr>
      </w:pPr>
      <w:r>
        <w:rPr>
          <w:sz w:val="22"/>
        </w:rPr>
        <w:t>The Rel-15 codebook subset restriction result</w:t>
      </w:r>
      <w:r w:rsidR="006D1CF3">
        <w:rPr>
          <w:sz w:val="22"/>
        </w:rPr>
        <w:t>s</w:t>
      </w:r>
      <w:r>
        <w:rPr>
          <w:sz w:val="22"/>
        </w:rPr>
        <w:t xml:space="preserve"> in uplink MIMO transmission with limited transmit power if a UE is not fully coherent, i.e., FPNC capab</w:t>
      </w:r>
      <w:r w:rsidR="006D1CF3">
        <w:rPr>
          <w:sz w:val="22"/>
        </w:rPr>
        <w:t>le</w:t>
      </w:r>
      <w:r>
        <w:rPr>
          <w:sz w:val="22"/>
        </w:rPr>
        <w:t xml:space="preserve">. The proposed candidate solutions to address the problem cannot be evaluated without knowing the power ratings of employed power amplifiers in each transmitter chain. </w:t>
      </w:r>
      <w:r w:rsidR="00606C68" w:rsidRPr="00606C68">
        <w:rPr>
          <w:sz w:val="22"/>
          <w:szCs w:val="22"/>
        </w:rPr>
        <w:t xml:space="preserve">Based on the recent agreement [1], full TX power UL transmission with multiple power amplifier is supported at least for </w:t>
      </w:r>
      <w:proofErr w:type="gramStart"/>
      <w:r w:rsidR="00606C68" w:rsidRPr="00606C68">
        <w:rPr>
          <w:sz w:val="22"/>
          <w:szCs w:val="22"/>
        </w:rPr>
        <w:t>codebook based</w:t>
      </w:r>
      <w:proofErr w:type="gramEnd"/>
      <w:r w:rsidR="00606C68" w:rsidRPr="00606C68">
        <w:rPr>
          <w:sz w:val="22"/>
          <w:szCs w:val="22"/>
        </w:rPr>
        <w:t xml:space="preserve"> UL transmission for non-coherent and partial/non-coherent capable UEs. The support of this feature is indicated by the UE as part of UE capability </w:t>
      </w:r>
      <w:proofErr w:type="spellStart"/>
      <w:r w:rsidR="00606C68" w:rsidRPr="00606C68">
        <w:rPr>
          <w:sz w:val="22"/>
          <w:szCs w:val="22"/>
        </w:rPr>
        <w:t>signalling</w:t>
      </w:r>
      <w:proofErr w:type="spellEnd"/>
      <w:r w:rsidR="00606C68" w:rsidRPr="00606C68">
        <w:rPr>
          <w:sz w:val="22"/>
          <w:szCs w:val="22"/>
        </w:rPr>
        <w:t xml:space="preserve">. </w:t>
      </w:r>
      <w:r w:rsidR="00891B71" w:rsidRPr="00606C68">
        <w:rPr>
          <w:rFonts w:ascii="Times" w:hAnsi="Times" w:cs="Times"/>
          <w:sz w:val="22"/>
          <w:szCs w:val="22"/>
        </w:rPr>
        <w:t xml:space="preserve">As mentioned earlier, three UE capability </w:t>
      </w:r>
      <w:r w:rsidR="000A57C8" w:rsidRPr="00606C68">
        <w:rPr>
          <w:rFonts w:ascii="Times" w:hAnsi="Times" w:cs="Times"/>
          <w:sz w:val="22"/>
          <w:szCs w:val="22"/>
        </w:rPr>
        <w:t>for the UE to support full TX power in UL transmission are</w:t>
      </w:r>
      <w:r w:rsidR="000A57C8" w:rsidRPr="00606C68">
        <w:rPr>
          <w:iCs/>
          <w:sz w:val="22"/>
          <w:szCs w:val="22"/>
        </w:rPr>
        <w:t xml:space="preserve"> considered:</w:t>
      </w:r>
    </w:p>
    <w:p w14:paraId="69CAD224" w14:textId="5B587B79" w:rsidR="000A57C8" w:rsidRPr="000A57C8" w:rsidRDefault="000A57C8" w:rsidP="00C819D0">
      <w:pPr>
        <w:pStyle w:val="ListParagraph"/>
        <w:numPr>
          <w:ilvl w:val="0"/>
          <w:numId w:val="40"/>
        </w:numPr>
        <w:spacing w:line="276" w:lineRule="auto"/>
        <w:contextualSpacing/>
        <w:jc w:val="both"/>
        <w:rPr>
          <w:rFonts w:ascii="Times New Roman" w:hAnsi="Times New Roman"/>
        </w:rPr>
      </w:pPr>
      <w:r w:rsidRPr="000A57C8">
        <w:rPr>
          <w:rFonts w:ascii="Times New Roman" w:hAnsi="Times New Roman"/>
          <w:b/>
          <w:bCs/>
          <w:iCs/>
        </w:rPr>
        <w:t>UE capability 1 (Cap1)</w:t>
      </w:r>
      <w:r w:rsidRPr="000A57C8">
        <w:rPr>
          <w:rFonts w:ascii="Times New Roman" w:hAnsi="Times New Roman"/>
          <w:iCs/>
        </w:rPr>
        <w:t>: full rated PAs on each T</w:t>
      </w:r>
      <w:r w:rsidR="003A4259">
        <w:rPr>
          <w:rFonts w:ascii="Times New Roman" w:hAnsi="Times New Roman"/>
          <w:iCs/>
        </w:rPr>
        <w:t>X</w:t>
      </w:r>
      <w:r w:rsidRPr="000A57C8">
        <w:rPr>
          <w:rFonts w:ascii="Times New Roman" w:hAnsi="Times New Roman"/>
          <w:iCs/>
        </w:rPr>
        <w:t xml:space="preserve"> chain is supported with a new UE capability </w:t>
      </w:r>
    </w:p>
    <w:p w14:paraId="24ECA804" w14:textId="63371FCF" w:rsidR="000A57C8" w:rsidRPr="000A57C8" w:rsidRDefault="000A57C8" w:rsidP="00C819D0">
      <w:pPr>
        <w:pStyle w:val="ListParagraph"/>
        <w:numPr>
          <w:ilvl w:val="0"/>
          <w:numId w:val="40"/>
        </w:numPr>
        <w:spacing w:line="276" w:lineRule="auto"/>
        <w:contextualSpacing/>
        <w:jc w:val="both"/>
        <w:rPr>
          <w:rFonts w:ascii="Times New Roman" w:hAnsi="Times New Roman"/>
        </w:rPr>
      </w:pPr>
      <w:r w:rsidRPr="000A57C8">
        <w:rPr>
          <w:rFonts w:ascii="Times New Roman" w:hAnsi="Times New Roman"/>
          <w:b/>
          <w:bCs/>
          <w:iCs/>
        </w:rPr>
        <w:t>UE capability 2 (Cap2)</w:t>
      </w:r>
      <w:r w:rsidRPr="000A57C8">
        <w:rPr>
          <w:rFonts w:ascii="Times New Roman" w:hAnsi="Times New Roman"/>
          <w:iCs/>
        </w:rPr>
        <w:t>: no T</w:t>
      </w:r>
      <w:r w:rsidR="003A4259">
        <w:rPr>
          <w:rFonts w:ascii="Times New Roman" w:hAnsi="Times New Roman"/>
          <w:iCs/>
        </w:rPr>
        <w:t>X</w:t>
      </w:r>
      <w:r w:rsidRPr="000A57C8">
        <w:rPr>
          <w:rFonts w:ascii="Times New Roman" w:hAnsi="Times New Roman"/>
          <w:iCs/>
        </w:rPr>
        <w:t xml:space="preserve"> chain is assumed to deliver full power with the new UE capability </w:t>
      </w:r>
    </w:p>
    <w:p w14:paraId="25F65B60" w14:textId="369327AF" w:rsidR="000A57C8" w:rsidRPr="000A57C8" w:rsidRDefault="000A57C8" w:rsidP="00C819D0">
      <w:pPr>
        <w:pStyle w:val="ListParagraph"/>
        <w:numPr>
          <w:ilvl w:val="0"/>
          <w:numId w:val="40"/>
        </w:numPr>
        <w:spacing w:line="276" w:lineRule="auto"/>
        <w:contextualSpacing/>
        <w:jc w:val="both"/>
        <w:rPr>
          <w:rFonts w:ascii="Times New Roman" w:hAnsi="Times New Roman"/>
        </w:rPr>
      </w:pPr>
      <w:r w:rsidRPr="000A57C8">
        <w:rPr>
          <w:rFonts w:ascii="Times New Roman" w:hAnsi="Times New Roman"/>
          <w:b/>
          <w:bCs/>
          <w:iCs/>
        </w:rPr>
        <w:t>UE capability 3 (Cap3)</w:t>
      </w:r>
      <w:r w:rsidRPr="000A57C8">
        <w:rPr>
          <w:rFonts w:ascii="Times New Roman" w:hAnsi="Times New Roman"/>
          <w:iCs/>
        </w:rPr>
        <w:t>: subset of T</w:t>
      </w:r>
      <w:r w:rsidR="003A4259">
        <w:rPr>
          <w:rFonts w:ascii="Times New Roman" w:hAnsi="Times New Roman"/>
          <w:iCs/>
        </w:rPr>
        <w:t>X</w:t>
      </w:r>
      <w:r w:rsidRPr="000A57C8">
        <w:rPr>
          <w:rFonts w:ascii="Times New Roman" w:hAnsi="Times New Roman"/>
          <w:iCs/>
        </w:rPr>
        <w:t xml:space="preserve"> chains with full rated PAs is supported with a new UE capability</w:t>
      </w:r>
    </w:p>
    <w:p w14:paraId="29D26667" w14:textId="77777777" w:rsidR="000A57C8" w:rsidRPr="000A57C8" w:rsidRDefault="000A57C8" w:rsidP="00C819D0">
      <w:pPr>
        <w:spacing w:after="0" w:line="276" w:lineRule="auto"/>
        <w:contextualSpacing/>
        <w:jc w:val="both"/>
        <w:rPr>
          <w:rFonts w:ascii="Times" w:hAnsi="Times" w:cs="Times"/>
          <w:sz w:val="22"/>
          <w:lang w:val="en-US"/>
        </w:rPr>
      </w:pPr>
    </w:p>
    <w:p w14:paraId="309AE67E" w14:textId="77777777" w:rsidR="00C819D0" w:rsidRDefault="003A4259" w:rsidP="00C819D0">
      <w:pPr>
        <w:pStyle w:val="BodyText"/>
        <w:spacing w:line="276" w:lineRule="auto"/>
        <w:contextualSpacing/>
        <w:rPr>
          <w:sz w:val="22"/>
        </w:rPr>
      </w:pPr>
      <w:r w:rsidRPr="00C819D0">
        <w:rPr>
          <w:b/>
          <w:sz w:val="22"/>
          <w:highlight w:val="lightGray"/>
        </w:rPr>
        <w:t>UE capability 1</w:t>
      </w:r>
    </w:p>
    <w:p w14:paraId="5067E38D" w14:textId="25BF851B" w:rsidR="003A4259" w:rsidRDefault="003A4259" w:rsidP="00C819D0">
      <w:pPr>
        <w:pStyle w:val="BodyText"/>
        <w:spacing w:line="276" w:lineRule="auto"/>
        <w:contextualSpacing/>
        <w:rPr>
          <w:sz w:val="22"/>
        </w:rPr>
      </w:pPr>
      <w:r>
        <w:rPr>
          <w:sz w:val="22"/>
        </w:rPr>
        <w:t xml:space="preserve">A UE with full rated PAs per chain </w:t>
      </w:r>
      <w:proofErr w:type="gramStart"/>
      <w:r>
        <w:rPr>
          <w:sz w:val="22"/>
        </w:rPr>
        <w:t>is able to</w:t>
      </w:r>
      <w:proofErr w:type="gramEnd"/>
      <w:r>
        <w:rPr>
          <w:sz w:val="22"/>
        </w:rPr>
        <w:t xml:space="preserve"> support full power transmission under any UE coherence capability and codebook subset restriction. </w:t>
      </w:r>
      <w:r w:rsidR="00C819D0">
        <w:rPr>
          <w:sz w:val="22"/>
        </w:rPr>
        <w:t>In fact, there is no problem to be solved</w:t>
      </w:r>
      <w:r w:rsidR="00464A14">
        <w:rPr>
          <w:sz w:val="22"/>
        </w:rPr>
        <w:t>,</w:t>
      </w:r>
      <w:r w:rsidR="00C819D0">
        <w:rPr>
          <w:sz w:val="22"/>
        </w:rPr>
        <w:t xml:space="preserve"> and non</w:t>
      </w:r>
      <w:r w:rsidR="0017413F">
        <w:rPr>
          <w:sz w:val="22"/>
        </w:rPr>
        <w:t>e</w:t>
      </w:r>
      <w:r w:rsidR="00C819D0">
        <w:rPr>
          <w:sz w:val="22"/>
        </w:rPr>
        <w:t xml:space="preserve"> of the 5 proposed solutions would be necessary. Having said that the main issue of this capability is the imposed cost on UE that is mostly not welcome from implementation perspective.</w:t>
      </w:r>
    </w:p>
    <w:p w14:paraId="3507E802" w14:textId="4589084F" w:rsidR="003A4259" w:rsidRDefault="003A4259" w:rsidP="00C819D0">
      <w:pPr>
        <w:pStyle w:val="BodyText"/>
        <w:spacing w:line="276" w:lineRule="auto"/>
        <w:contextualSpacing/>
        <w:rPr>
          <w:sz w:val="22"/>
        </w:rPr>
      </w:pPr>
    </w:p>
    <w:p w14:paraId="56C1AE70" w14:textId="62A8112E" w:rsidR="00C819D0" w:rsidRDefault="00C819D0" w:rsidP="00C819D0">
      <w:pPr>
        <w:pStyle w:val="BodyText"/>
        <w:spacing w:line="276" w:lineRule="auto"/>
        <w:contextualSpacing/>
        <w:rPr>
          <w:sz w:val="22"/>
        </w:rPr>
      </w:pPr>
      <w:r w:rsidRPr="00C819D0">
        <w:rPr>
          <w:b/>
          <w:sz w:val="22"/>
          <w:highlight w:val="lightGray"/>
        </w:rPr>
        <w:t>UE capability</w:t>
      </w:r>
      <w:r>
        <w:rPr>
          <w:b/>
          <w:sz w:val="22"/>
          <w:highlight w:val="lightGray"/>
        </w:rPr>
        <w:t xml:space="preserve"> 2</w:t>
      </w:r>
    </w:p>
    <w:p w14:paraId="35108B6D" w14:textId="3F622F28" w:rsidR="00C819D0" w:rsidRDefault="00C766E6" w:rsidP="00C819D0">
      <w:pPr>
        <w:pStyle w:val="BodyText"/>
        <w:spacing w:line="276" w:lineRule="auto"/>
        <w:contextualSpacing/>
        <w:rPr>
          <w:sz w:val="22"/>
        </w:rPr>
      </w:pPr>
      <w:r>
        <w:rPr>
          <w:sz w:val="22"/>
        </w:rPr>
        <w:t xml:space="preserve">If none of the TX chain is equipped with a full rated, then most of the proposed solutions are not able to support full TX power, namely, Options 1, 3 and 5. Option 2 that is essentially based on TX chain combining (antenna virtualization) may work, however the details of combining mechanism may be left to implementation, and effectively turning Option 2 to Option 4. </w:t>
      </w:r>
    </w:p>
    <w:p w14:paraId="34B7DCE9" w14:textId="77777777" w:rsidR="00464A14" w:rsidRDefault="00464A14" w:rsidP="00C819D0">
      <w:pPr>
        <w:pStyle w:val="BodyText"/>
        <w:spacing w:line="276" w:lineRule="auto"/>
        <w:contextualSpacing/>
        <w:rPr>
          <w:sz w:val="22"/>
        </w:rPr>
      </w:pPr>
    </w:p>
    <w:p w14:paraId="2E7A61BF" w14:textId="55C47847" w:rsidR="00C766E6" w:rsidRDefault="00C766E6" w:rsidP="00C766E6">
      <w:pPr>
        <w:pStyle w:val="BodyText"/>
        <w:spacing w:line="276" w:lineRule="auto"/>
        <w:contextualSpacing/>
        <w:rPr>
          <w:sz w:val="22"/>
        </w:rPr>
      </w:pPr>
      <w:r w:rsidRPr="00C819D0">
        <w:rPr>
          <w:b/>
          <w:sz w:val="22"/>
          <w:highlight w:val="lightGray"/>
        </w:rPr>
        <w:t>UE capability</w:t>
      </w:r>
      <w:r>
        <w:rPr>
          <w:b/>
          <w:sz w:val="22"/>
          <w:highlight w:val="lightGray"/>
        </w:rPr>
        <w:t xml:space="preserve"> 3</w:t>
      </w:r>
    </w:p>
    <w:p w14:paraId="4A18A4E2" w14:textId="6FD8B14C" w:rsidR="00C766E6" w:rsidRDefault="00C766E6" w:rsidP="00C819D0">
      <w:pPr>
        <w:pStyle w:val="BodyText"/>
        <w:spacing w:line="276" w:lineRule="auto"/>
        <w:contextualSpacing/>
        <w:rPr>
          <w:sz w:val="22"/>
        </w:rPr>
      </w:pPr>
      <w:r>
        <w:rPr>
          <w:sz w:val="22"/>
        </w:rPr>
        <w:t>This option seems like a reasonable compromise that could enable some of the proposed solution</w:t>
      </w:r>
      <w:r w:rsidR="0017413F">
        <w:rPr>
          <w:sz w:val="22"/>
        </w:rPr>
        <w:t>. UE capability 3 could support full power tran</w:t>
      </w:r>
      <w:r w:rsidR="00CE02BD">
        <w:rPr>
          <w:sz w:val="22"/>
        </w:rPr>
        <w:t>smission for all UE coherency capability</w:t>
      </w:r>
      <w:r w:rsidR="0017413F">
        <w:rPr>
          <w:sz w:val="22"/>
        </w:rPr>
        <w:t xml:space="preserve"> without imposing a significant additional cost.</w:t>
      </w:r>
    </w:p>
    <w:p w14:paraId="0F4307E2" w14:textId="77777777" w:rsidR="00CE02BD" w:rsidRDefault="00CE02BD" w:rsidP="00C819D0">
      <w:pPr>
        <w:pStyle w:val="BodyText"/>
        <w:spacing w:line="276" w:lineRule="auto"/>
        <w:contextualSpacing/>
        <w:rPr>
          <w:b/>
          <w:i/>
          <w:sz w:val="22"/>
        </w:rPr>
      </w:pPr>
    </w:p>
    <w:p w14:paraId="0B9DF33C" w14:textId="52BF483C" w:rsidR="00C819D0" w:rsidRPr="00CE02BD" w:rsidRDefault="00CE02BD" w:rsidP="00C819D0">
      <w:pPr>
        <w:pStyle w:val="BodyText"/>
        <w:spacing w:line="276" w:lineRule="auto"/>
        <w:contextualSpacing/>
        <w:rPr>
          <w:i/>
          <w:sz w:val="22"/>
        </w:rPr>
      </w:pPr>
      <w:r w:rsidRPr="00CE02BD">
        <w:rPr>
          <w:b/>
          <w:i/>
          <w:sz w:val="22"/>
        </w:rPr>
        <w:t>Proposal 1:</w:t>
      </w:r>
      <w:r w:rsidRPr="00CE02BD">
        <w:rPr>
          <w:i/>
          <w:sz w:val="22"/>
        </w:rPr>
        <w:t xml:space="preserve"> To maintain full TX power for all UE coherency level, UE capability 3 is supported.</w:t>
      </w:r>
    </w:p>
    <w:p w14:paraId="5F91AA06" w14:textId="77777777" w:rsidR="00CE02BD" w:rsidRDefault="00CE02BD" w:rsidP="00C819D0">
      <w:pPr>
        <w:pStyle w:val="BodyText"/>
        <w:spacing w:line="276" w:lineRule="auto"/>
        <w:contextualSpacing/>
        <w:rPr>
          <w:sz w:val="22"/>
        </w:rPr>
      </w:pPr>
    </w:p>
    <w:p w14:paraId="7FAC9A03" w14:textId="077FDBED" w:rsidR="00116F22" w:rsidRDefault="00606C68" w:rsidP="00595E2F">
      <w:pPr>
        <w:pStyle w:val="BodyText"/>
        <w:spacing w:line="276" w:lineRule="auto"/>
        <w:contextualSpacing/>
        <w:rPr>
          <w:rFonts w:cs="Times"/>
          <w:sz w:val="22"/>
        </w:rPr>
      </w:pPr>
      <w:r>
        <w:rPr>
          <w:sz w:val="22"/>
        </w:rPr>
        <w:t xml:space="preserve">Since a UE with capability 3 relies on </w:t>
      </w:r>
      <w:r w:rsidR="003A4259">
        <w:rPr>
          <w:sz w:val="22"/>
        </w:rPr>
        <w:t xml:space="preserve">having power amplifiers with different power ratings in each transmitter chain, </w:t>
      </w:r>
      <w:r w:rsidR="006E50DF">
        <w:rPr>
          <w:sz w:val="22"/>
        </w:rPr>
        <w:t>it is important a</w:t>
      </w:r>
      <w:r w:rsidR="003A4259">
        <w:rPr>
          <w:sz w:val="22"/>
        </w:rPr>
        <w:t xml:space="preserve"> UE conveys information related to its power rating and its coherence capability per panel/chain to the gNB. Without this information, solutions based on antenna virtualization cannot be employed. </w:t>
      </w:r>
    </w:p>
    <w:p w14:paraId="6BBB0AE3" w14:textId="77777777" w:rsidR="00595E2F" w:rsidRDefault="006732F2" w:rsidP="00595E2F">
      <w:pPr>
        <w:pStyle w:val="BodyText"/>
        <w:spacing w:line="276" w:lineRule="auto"/>
        <w:contextualSpacing/>
        <w:rPr>
          <w:rFonts w:cs="Times"/>
          <w:sz w:val="22"/>
        </w:rPr>
      </w:pPr>
      <w:r>
        <w:rPr>
          <w:rFonts w:cs="Times"/>
          <w:sz w:val="22"/>
        </w:rPr>
        <w:t xml:space="preserve"> </w:t>
      </w:r>
    </w:p>
    <w:p w14:paraId="564E30D9" w14:textId="2EED35EA" w:rsidR="0047301D" w:rsidRDefault="00595E2F" w:rsidP="00595E2F">
      <w:pPr>
        <w:pStyle w:val="BodyText"/>
        <w:spacing w:line="276" w:lineRule="auto"/>
        <w:contextualSpacing/>
        <w:rPr>
          <w:i/>
          <w:sz w:val="22"/>
        </w:rPr>
      </w:pPr>
      <w:r w:rsidRPr="00CE02BD">
        <w:rPr>
          <w:b/>
          <w:i/>
          <w:sz w:val="22"/>
        </w:rPr>
        <w:t xml:space="preserve">Proposal </w:t>
      </w:r>
      <w:r>
        <w:rPr>
          <w:b/>
          <w:i/>
          <w:sz w:val="22"/>
        </w:rPr>
        <w:t>2</w:t>
      </w:r>
      <w:r w:rsidRPr="00CE02BD">
        <w:rPr>
          <w:b/>
          <w:i/>
          <w:sz w:val="22"/>
        </w:rPr>
        <w:t>:</w:t>
      </w:r>
      <w:r w:rsidRPr="00CE02BD">
        <w:rPr>
          <w:i/>
          <w:sz w:val="22"/>
        </w:rPr>
        <w:t xml:space="preserve"> To </w:t>
      </w:r>
      <w:r w:rsidR="00493F7A">
        <w:rPr>
          <w:i/>
          <w:sz w:val="22"/>
        </w:rPr>
        <w:t>indicate</w:t>
      </w:r>
      <w:r>
        <w:rPr>
          <w:i/>
          <w:sz w:val="22"/>
        </w:rPr>
        <w:t xml:space="preserve"> UE capability 3, a UE reports </w:t>
      </w:r>
      <w:r w:rsidR="0047301D">
        <w:rPr>
          <w:i/>
          <w:sz w:val="22"/>
        </w:rPr>
        <w:t>power rating and coherence capability per transmitter chain.</w:t>
      </w:r>
    </w:p>
    <w:p w14:paraId="6ECDCB08" w14:textId="503EEE72" w:rsidR="00595E2F" w:rsidRDefault="00595E2F" w:rsidP="00595E2F">
      <w:pPr>
        <w:pStyle w:val="BodyText"/>
        <w:spacing w:line="276" w:lineRule="auto"/>
        <w:contextualSpacing/>
        <w:rPr>
          <w:sz w:val="22"/>
        </w:rPr>
      </w:pPr>
    </w:p>
    <w:p w14:paraId="17B0014C" w14:textId="5A0E24EE" w:rsidR="0047301D" w:rsidRDefault="0047301D" w:rsidP="00C819D0">
      <w:pPr>
        <w:spacing w:after="0" w:line="276" w:lineRule="auto"/>
        <w:contextualSpacing/>
        <w:jc w:val="both"/>
        <w:rPr>
          <w:rFonts w:ascii="Times" w:hAnsi="Times" w:cs="Times"/>
          <w:i/>
          <w:sz w:val="22"/>
        </w:rPr>
      </w:pPr>
      <w:r>
        <w:rPr>
          <w:rFonts w:ascii="Times" w:hAnsi="Times" w:cs="Times"/>
          <w:b/>
          <w:i/>
          <w:sz w:val="22"/>
        </w:rPr>
        <w:t>P</w:t>
      </w:r>
      <w:r w:rsidR="00541873">
        <w:rPr>
          <w:rFonts w:ascii="Times" w:hAnsi="Times" w:cs="Times"/>
          <w:b/>
          <w:i/>
          <w:sz w:val="22"/>
        </w:rPr>
        <w:t xml:space="preserve">roposal </w:t>
      </w:r>
      <w:r>
        <w:rPr>
          <w:rFonts w:ascii="Times" w:hAnsi="Times" w:cs="Times"/>
          <w:b/>
          <w:i/>
          <w:sz w:val="22"/>
        </w:rPr>
        <w:t>3:</w:t>
      </w:r>
      <w:r w:rsidR="00C16D4C" w:rsidRPr="00C863DE">
        <w:rPr>
          <w:rFonts w:ascii="Times" w:hAnsi="Times" w:cs="Times"/>
          <w:i/>
          <w:sz w:val="22"/>
        </w:rPr>
        <w:t xml:space="preserve"> </w:t>
      </w:r>
      <w:r>
        <w:rPr>
          <w:rFonts w:ascii="Times" w:hAnsi="Times" w:cs="Times"/>
          <w:i/>
          <w:sz w:val="22"/>
        </w:rPr>
        <w:t>Assuming UE capability 3 with reporting of power and coherence per panel, solution based on option 2 (virtualization) is supported.</w:t>
      </w:r>
    </w:p>
    <w:p w14:paraId="01C79E35" w14:textId="6BABAB1B" w:rsidR="004C1FE3" w:rsidRDefault="004C1FE3" w:rsidP="00C819D0">
      <w:pPr>
        <w:spacing w:after="0" w:line="276" w:lineRule="auto"/>
        <w:contextualSpacing/>
        <w:jc w:val="both"/>
        <w:rPr>
          <w:rFonts w:ascii="Times" w:hAnsi="Times" w:cs="Times"/>
          <w:sz w:val="22"/>
        </w:rPr>
      </w:pPr>
    </w:p>
    <w:p w14:paraId="33D0132F" w14:textId="208DA375" w:rsidR="0047301D" w:rsidRDefault="006342AF" w:rsidP="00464A14">
      <w:pPr>
        <w:spacing w:after="0" w:line="276" w:lineRule="auto"/>
        <w:ind w:firstLine="288"/>
        <w:contextualSpacing/>
        <w:jc w:val="both"/>
        <w:rPr>
          <w:rFonts w:ascii="Times" w:hAnsi="Times" w:cs="Times"/>
          <w:sz w:val="22"/>
        </w:rPr>
      </w:pPr>
      <w:r>
        <w:rPr>
          <w:rFonts w:ascii="Times" w:hAnsi="Times" w:cs="Times"/>
          <w:sz w:val="22"/>
        </w:rPr>
        <w:t xml:space="preserve">For </w:t>
      </w:r>
      <w:r w:rsidR="0047301D">
        <w:rPr>
          <w:rFonts w:ascii="Times" w:hAnsi="Times" w:cs="Times"/>
          <w:sz w:val="22"/>
        </w:rPr>
        <w:t xml:space="preserve">a UE </w:t>
      </w:r>
      <w:r>
        <w:rPr>
          <w:rFonts w:ascii="Times" w:hAnsi="Times" w:cs="Times"/>
          <w:sz w:val="22"/>
        </w:rPr>
        <w:t>with capability 2</w:t>
      </w:r>
      <w:r w:rsidR="0047301D">
        <w:rPr>
          <w:rFonts w:ascii="Times" w:hAnsi="Times" w:cs="Times"/>
          <w:sz w:val="22"/>
        </w:rPr>
        <w:t>, it</w:t>
      </w:r>
      <w:r>
        <w:rPr>
          <w:rFonts w:ascii="Times" w:hAnsi="Times" w:cs="Times"/>
          <w:sz w:val="22"/>
        </w:rPr>
        <w:t xml:space="preserve"> is not straight forward to devise a solution to achieve full uplink TX power. However, we can allow </w:t>
      </w:r>
      <w:r w:rsidR="00493F7A">
        <w:rPr>
          <w:rFonts w:ascii="Times" w:hAnsi="Times" w:cs="Times"/>
          <w:sz w:val="22"/>
        </w:rPr>
        <w:t>a</w:t>
      </w:r>
      <w:r w:rsidRPr="006342AF">
        <w:rPr>
          <w:rFonts w:ascii="Times" w:hAnsi="Times" w:cs="Times"/>
          <w:sz w:val="22"/>
        </w:rPr>
        <w:t xml:space="preserve"> UE</w:t>
      </w:r>
      <w:r w:rsidR="00464A14">
        <w:rPr>
          <w:rFonts w:ascii="Times" w:hAnsi="Times" w:cs="Times"/>
          <w:sz w:val="22"/>
        </w:rPr>
        <w:t xml:space="preserve"> with capability 2</w:t>
      </w:r>
      <w:r w:rsidRPr="006342AF">
        <w:rPr>
          <w:rFonts w:ascii="Times" w:hAnsi="Times" w:cs="Times"/>
          <w:sz w:val="22"/>
        </w:rPr>
        <w:t xml:space="preserve"> </w:t>
      </w:r>
      <w:r>
        <w:rPr>
          <w:rFonts w:ascii="Times" w:hAnsi="Times" w:cs="Times"/>
          <w:sz w:val="22"/>
        </w:rPr>
        <w:t>to</w:t>
      </w:r>
      <w:r w:rsidRPr="006342AF">
        <w:rPr>
          <w:rFonts w:ascii="Times" w:hAnsi="Times" w:cs="Times"/>
          <w:sz w:val="22"/>
        </w:rPr>
        <w:t xml:space="preserve"> override codebook subset restriction according to certain operational criteria. </w:t>
      </w:r>
      <w:r>
        <w:rPr>
          <w:rFonts w:ascii="Times" w:hAnsi="Times" w:cs="Times"/>
          <w:sz w:val="22"/>
        </w:rPr>
        <w:t xml:space="preserve">For example, since full TX power is more likely needed at the cell edge, and at the cell edge transmission rank is low, overriding subset restriction and </w:t>
      </w:r>
      <w:r w:rsidR="00D8001A">
        <w:rPr>
          <w:rFonts w:ascii="Times" w:hAnsi="Times" w:cs="Times"/>
          <w:sz w:val="22"/>
        </w:rPr>
        <w:t xml:space="preserve">using a non-coherent panel to </w:t>
      </w:r>
      <w:r>
        <w:rPr>
          <w:rFonts w:ascii="Times" w:hAnsi="Times" w:cs="Times"/>
          <w:sz w:val="22"/>
        </w:rPr>
        <w:t>achiev</w:t>
      </w:r>
      <w:r w:rsidR="00D8001A">
        <w:rPr>
          <w:rFonts w:ascii="Times" w:hAnsi="Times" w:cs="Times"/>
          <w:sz w:val="22"/>
        </w:rPr>
        <w:t>e</w:t>
      </w:r>
      <w:r>
        <w:rPr>
          <w:rFonts w:ascii="Times" w:hAnsi="Times" w:cs="Times"/>
          <w:sz w:val="22"/>
        </w:rPr>
        <w:t xml:space="preserve"> full power </w:t>
      </w:r>
      <w:r w:rsidR="00464A14">
        <w:rPr>
          <w:rFonts w:ascii="Times" w:hAnsi="Times" w:cs="Times"/>
          <w:sz w:val="22"/>
        </w:rPr>
        <w:t xml:space="preserve">could </w:t>
      </w:r>
      <w:r>
        <w:rPr>
          <w:rFonts w:ascii="Times" w:hAnsi="Times" w:cs="Times"/>
          <w:sz w:val="22"/>
        </w:rPr>
        <w:lastRenderedPageBreak/>
        <w:t xml:space="preserve">outperform </w:t>
      </w:r>
      <w:r w:rsidR="00D8001A">
        <w:rPr>
          <w:rFonts w:ascii="Times" w:hAnsi="Times" w:cs="Times"/>
          <w:sz w:val="22"/>
        </w:rPr>
        <w:t>a more accurate coherent precoding</w:t>
      </w:r>
      <w:r w:rsidR="00464A14">
        <w:rPr>
          <w:rFonts w:ascii="Times" w:hAnsi="Times" w:cs="Times"/>
          <w:sz w:val="22"/>
        </w:rPr>
        <w:t xml:space="preserve"> at a significantly reduced power</w:t>
      </w:r>
      <w:r w:rsidR="00D8001A">
        <w:rPr>
          <w:rFonts w:ascii="Times" w:hAnsi="Times" w:cs="Times"/>
          <w:sz w:val="22"/>
        </w:rPr>
        <w:t xml:space="preserve">. Therefore, </w:t>
      </w:r>
      <w:r w:rsidRPr="006342AF">
        <w:rPr>
          <w:rFonts w:ascii="Times" w:hAnsi="Times" w:cs="Times"/>
          <w:sz w:val="22"/>
        </w:rPr>
        <w:t>to avoid a power loss, a UE</w:t>
      </w:r>
      <w:r w:rsidR="00493F7A">
        <w:rPr>
          <w:rFonts w:ascii="Times" w:hAnsi="Times" w:cs="Times"/>
          <w:sz w:val="22"/>
        </w:rPr>
        <w:t xml:space="preserve"> </w:t>
      </w:r>
      <w:r w:rsidR="00464A14">
        <w:rPr>
          <w:rFonts w:ascii="Times" w:hAnsi="Times" w:cs="Times"/>
          <w:sz w:val="22"/>
        </w:rPr>
        <w:t>c</w:t>
      </w:r>
      <w:r w:rsidR="00493F7A">
        <w:rPr>
          <w:rFonts w:ascii="Times" w:hAnsi="Times" w:cs="Times"/>
          <w:sz w:val="22"/>
        </w:rPr>
        <w:t>ould</w:t>
      </w:r>
      <w:r w:rsidRPr="006342AF">
        <w:rPr>
          <w:rFonts w:ascii="Times" w:hAnsi="Times" w:cs="Times"/>
          <w:sz w:val="22"/>
        </w:rPr>
        <w:t xml:space="preserve"> override codebook subset restriction if its estimated SINR falls below a threshold for MIMO spatial processing. </w:t>
      </w:r>
    </w:p>
    <w:p w14:paraId="3F356B78" w14:textId="77777777" w:rsidR="00D8001A" w:rsidRDefault="00D8001A" w:rsidP="00D8001A">
      <w:pPr>
        <w:spacing w:after="0" w:line="276" w:lineRule="auto"/>
        <w:contextualSpacing/>
        <w:jc w:val="both"/>
        <w:rPr>
          <w:rFonts w:ascii="Times" w:hAnsi="Times" w:cs="Times"/>
          <w:b/>
          <w:i/>
          <w:sz w:val="22"/>
        </w:rPr>
      </w:pPr>
    </w:p>
    <w:p w14:paraId="176CE85B" w14:textId="070D6374" w:rsidR="00D8001A" w:rsidRDefault="00D8001A" w:rsidP="00D8001A">
      <w:pPr>
        <w:spacing w:after="0" w:line="276" w:lineRule="auto"/>
        <w:contextualSpacing/>
        <w:jc w:val="both"/>
        <w:rPr>
          <w:rFonts w:ascii="Times" w:hAnsi="Times" w:cs="Times"/>
          <w:i/>
          <w:sz w:val="22"/>
        </w:rPr>
      </w:pPr>
      <w:r>
        <w:rPr>
          <w:rFonts w:ascii="Times" w:hAnsi="Times" w:cs="Times"/>
          <w:b/>
          <w:i/>
          <w:sz w:val="22"/>
        </w:rPr>
        <w:t>Proposal 4:</w:t>
      </w:r>
      <w:r w:rsidRPr="00C863DE">
        <w:rPr>
          <w:rFonts w:ascii="Times" w:hAnsi="Times" w:cs="Times"/>
          <w:i/>
          <w:sz w:val="22"/>
        </w:rPr>
        <w:t xml:space="preserve"> </w:t>
      </w:r>
      <w:r>
        <w:rPr>
          <w:rFonts w:ascii="Times" w:hAnsi="Times" w:cs="Times"/>
          <w:i/>
          <w:sz w:val="22"/>
        </w:rPr>
        <w:t>For UE with c</w:t>
      </w:r>
      <w:r w:rsidR="00493F7A">
        <w:rPr>
          <w:rFonts w:ascii="Times" w:hAnsi="Times" w:cs="Times"/>
          <w:i/>
          <w:sz w:val="22"/>
        </w:rPr>
        <w:t xml:space="preserve">apability 2, </w:t>
      </w:r>
      <w:r w:rsidR="00493F7A" w:rsidRPr="00493F7A">
        <w:rPr>
          <w:rFonts w:ascii="Times" w:hAnsi="Times" w:cs="Times"/>
          <w:i/>
          <w:sz w:val="22"/>
        </w:rPr>
        <w:t xml:space="preserve">to avoid a power loss, a UE </w:t>
      </w:r>
      <w:r w:rsidR="00464A14">
        <w:rPr>
          <w:rFonts w:ascii="Times" w:hAnsi="Times" w:cs="Times"/>
          <w:i/>
          <w:sz w:val="22"/>
        </w:rPr>
        <w:t>c</w:t>
      </w:r>
      <w:r w:rsidR="00493F7A">
        <w:rPr>
          <w:rFonts w:ascii="Times" w:hAnsi="Times" w:cs="Times"/>
          <w:i/>
          <w:sz w:val="22"/>
        </w:rPr>
        <w:t>ould</w:t>
      </w:r>
      <w:r w:rsidR="00493F7A" w:rsidRPr="00493F7A">
        <w:rPr>
          <w:rFonts w:ascii="Times" w:hAnsi="Times" w:cs="Times"/>
          <w:i/>
          <w:sz w:val="22"/>
        </w:rPr>
        <w:t xml:space="preserve"> override codebook subset restriction if its estimated SINR falls below a threshold</w:t>
      </w:r>
      <w:r>
        <w:rPr>
          <w:rFonts w:ascii="Times" w:hAnsi="Times" w:cs="Times"/>
          <w:i/>
          <w:sz w:val="22"/>
        </w:rPr>
        <w:t>.</w:t>
      </w:r>
    </w:p>
    <w:p w14:paraId="0676D88F" w14:textId="185E89C5" w:rsidR="00D8001A" w:rsidRDefault="00D8001A" w:rsidP="00D8001A">
      <w:pPr>
        <w:spacing w:after="0" w:line="276" w:lineRule="auto"/>
        <w:contextualSpacing/>
        <w:jc w:val="both"/>
        <w:rPr>
          <w:rFonts w:ascii="Times" w:hAnsi="Times" w:cs="Times"/>
          <w:sz w:val="22"/>
        </w:rPr>
      </w:pPr>
    </w:p>
    <w:p w14:paraId="515308B4" w14:textId="77777777" w:rsidR="0047301D" w:rsidRDefault="0047301D" w:rsidP="00C819D0">
      <w:pPr>
        <w:spacing w:after="0" w:line="276" w:lineRule="auto"/>
        <w:contextualSpacing/>
        <w:jc w:val="both"/>
        <w:rPr>
          <w:rFonts w:ascii="Times" w:hAnsi="Times" w:cs="Times"/>
          <w:sz w:val="22"/>
        </w:rPr>
      </w:pPr>
    </w:p>
    <w:bookmarkEnd w:id="1"/>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906CA1">
        <w:rPr>
          <w:rFonts w:cs="Arial"/>
          <w:lang w:val="en-US"/>
        </w:rPr>
        <w:t>Conclusion</w:t>
      </w:r>
    </w:p>
    <w:p w14:paraId="60E86169" w14:textId="41A492A1" w:rsidR="00541873" w:rsidRDefault="004F55A2" w:rsidP="00C819D0">
      <w:pPr>
        <w:spacing w:line="276" w:lineRule="auto"/>
        <w:contextualSpacing/>
        <w:jc w:val="both"/>
        <w:rPr>
          <w:sz w:val="22"/>
          <w:szCs w:val="22"/>
          <w:lang w:eastAsia="zh-CN"/>
        </w:rPr>
      </w:pPr>
      <w:r w:rsidRPr="004F55A2">
        <w:rPr>
          <w:sz w:val="22"/>
          <w:szCs w:val="22"/>
          <w:lang w:eastAsia="zh-CN"/>
        </w:rPr>
        <w:t xml:space="preserve">In this contribution, we provide our perspectives on </w:t>
      </w:r>
      <w:r w:rsidR="00493F7A">
        <w:rPr>
          <w:sz w:val="22"/>
          <w:szCs w:val="22"/>
          <w:lang w:eastAsia="zh-CN"/>
        </w:rPr>
        <w:t xml:space="preserve">UE capability and </w:t>
      </w:r>
      <w:r w:rsidRPr="004F55A2">
        <w:rPr>
          <w:sz w:val="22"/>
          <w:szCs w:val="22"/>
          <w:lang w:eastAsia="zh-CN"/>
        </w:rPr>
        <w:t xml:space="preserve">the recommended </w:t>
      </w:r>
      <w:r w:rsidR="005E5B87">
        <w:rPr>
          <w:sz w:val="22"/>
          <w:szCs w:val="22"/>
          <w:lang w:eastAsia="zh-CN"/>
        </w:rPr>
        <w:t>solutions</w:t>
      </w:r>
      <w:r>
        <w:rPr>
          <w:sz w:val="22"/>
          <w:szCs w:val="22"/>
          <w:lang w:eastAsia="zh-CN"/>
        </w:rPr>
        <w:t xml:space="preserve"> to support f</w:t>
      </w:r>
      <w:r w:rsidRPr="004F55A2">
        <w:rPr>
          <w:rFonts w:ascii="Times" w:hAnsi="Times" w:cs="Times"/>
          <w:sz w:val="22"/>
        </w:rPr>
        <w:t>ull power uplink transmission</w:t>
      </w:r>
      <w:r w:rsidRPr="004F55A2">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5E5B87">
        <w:rPr>
          <w:sz w:val="22"/>
          <w:szCs w:val="22"/>
          <w:lang w:eastAsia="zh-CN"/>
        </w:rPr>
        <w:t xml:space="preserve">proposal </w:t>
      </w:r>
      <w:r w:rsidR="00541873">
        <w:rPr>
          <w:sz w:val="22"/>
          <w:szCs w:val="22"/>
          <w:lang w:eastAsia="zh-CN"/>
        </w:rPr>
        <w:t>are made:</w:t>
      </w:r>
    </w:p>
    <w:p w14:paraId="70F3B2C6" w14:textId="77777777" w:rsidR="00493F7A" w:rsidRPr="00CE02BD" w:rsidRDefault="00493F7A" w:rsidP="00493F7A">
      <w:pPr>
        <w:pStyle w:val="BodyText"/>
        <w:spacing w:line="276" w:lineRule="auto"/>
        <w:contextualSpacing/>
        <w:rPr>
          <w:i/>
          <w:sz w:val="22"/>
        </w:rPr>
      </w:pPr>
      <w:r w:rsidRPr="00CE02BD">
        <w:rPr>
          <w:b/>
          <w:i/>
          <w:sz w:val="22"/>
        </w:rPr>
        <w:t>Proposal 1:</w:t>
      </w:r>
      <w:r w:rsidRPr="00CE02BD">
        <w:rPr>
          <w:i/>
          <w:sz w:val="22"/>
        </w:rPr>
        <w:t xml:space="preserve"> To maintain full TX power for all UE coherency level, UE capability 3 is supported.</w:t>
      </w:r>
    </w:p>
    <w:p w14:paraId="1EB6C034" w14:textId="52FED2DE" w:rsidR="00493F7A" w:rsidRDefault="00493F7A" w:rsidP="00493F7A">
      <w:pPr>
        <w:pStyle w:val="BodyText"/>
        <w:spacing w:line="276" w:lineRule="auto"/>
        <w:contextualSpacing/>
        <w:rPr>
          <w:i/>
          <w:sz w:val="22"/>
        </w:rPr>
      </w:pPr>
      <w:r w:rsidRPr="00CE02BD">
        <w:rPr>
          <w:b/>
          <w:i/>
          <w:sz w:val="22"/>
        </w:rPr>
        <w:t xml:space="preserve">Proposal </w:t>
      </w:r>
      <w:r>
        <w:rPr>
          <w:b/>
          <w:i/>
          <w:sz w:val="22"/>
        </w:rPr>
        <w:t>2</w:t>
      </w:r>
      <w:r w:rsidRPr="00CE02BD">
        <w:rPr>
          <w:b/>
          <w:i/>
          <w:sz w:val="22"/>
        </w:rPr>
        <w:t>:</w:t>
      </w:r>
      <w:r w:rsidRPr="00CE02BD">
        <w:rPr>
          <w:i/>
          <w:sz w:val="22"/>
        </w:rPr>
        <w:t xml:space="preserve"> To </w:t>
      </w:r>
      <w:r>
        <w:rPr>
          <w:i/>
          <w:sz w:val="22"/>
        </w:rPr>
        <w:t>indicate UE capability 3, a UE reports power rating and coherence capability per transmitter chain.</w:t>
      </w:r>
    </w:p>
    <w:p w14:paraId="493AA2C1" w14:textId="77777777" w:rsidR="00493F7A" w:rsidRDefault="00493F7A" w:rsidP="00493F7A">
      <w:pPr>
        <w:spacing w:after="0" w:line="276" w:lineRule="auto"/>
        <w:contextualSpacing/>
        <w:jc w:val="both"/>
        <w:rPr>
          <w:rFonts w:ascii="Times" w:hAnsi="Times" w:cs="Times"/>
          <w:i/>
          <w:sz w:val="22"/>
        </w:rPr>
      </w:pPr>
      <w:r>
        <w:rPr>
          <w:rFonts w:ascii="Times" w:hAnsi="Times" w:cs="Times"/>
          <w:b/>
          <w:i/>
          <w:sz w:val="22"/>
        </w:rPr>
        <w:t>Proposal 3:</w:t>
      </w:r>
      <w:r w:rsidRPr="00C863DE">
        <w:rPr>
          <w:rFonts w:ascii="Times" w:hAnsi="Times" w:cs="Times"/>
          <w:i/>
          <w:sz w:val="22"/>
        </w:rPr>
        <w:t xml:space="preserve"> </w:t>
      </w:r>
      <w:r>
        <w:rPr>
          <w:rFonts w:ascii="Times" w:hAnsi="Times" w:cs="Times"/>
          <w:i/>
          <w:sz w:val="22"/>
        </w:rPr>
        <w:t>Assuming UE capability 3 with reporting of power and coherence per panel, solution based on option 2 (virtualization) is supported.</w:t>
      </w:r>
    </w:p>
    <w:p w14:paraId="6982A844" w14:textId="77777777" w:rsidR="00493F7A" w:rsidRDefault="00493F7A" w:rsidP="00493F7A">
      <w:pPr>
        <w:spacing w:after="0" w:line="276" w:lineRule="auto"/>
        <w:contextualSpacing/>
        <w:jc w:val="both"/>
        <w:rPr>
          <w:rFonts w:ascii="Times" w:hAnsi="Times" w:cs="Times"/>
          <w:sz w:val="22"/>
        </w:rPr>
      </w:pPr>
    </w:p>
    <w:p w14:paraId="26E3C1E0" w14:textId="78CCCCCE" w:rsidR="00493F7A" w:rsidRDefault="00493F7A" w:rsidP="00493F7A">
      <w:pPr>
        <w:spacing w:after="0" w:line="276" w:lineRule="auto"/>
        <w:contextualSpacing/>
        <w:jc w:val="both"/>
        <w:rPr>
          <w:rFonts w:ascii="Times" w:hAnsi="Times" w:cs="Times"/>
          <w:i/>
          <w:sz w:val="22"/>
        </w:rPr>
      </w:pPr>
      <w:r>
        <w:rPr>
          <w:rFonts w:ascii="Times" w:hAnsi="Times" w:cs="Times"/>
          <w:b/>
          <w:i/>
          <w:sz w:val="22"/>
        </w:rPr>
        <w:t>Proposal 4:</w:t>
      </w:r>
      <w:r w:rsidRPr="00C863DE">
        <w:rPr>
          <w:rFonts w:ascii="Times" w:hAnsi="Times" w:cs="Times"/>
          <w:i/>
          <w:sz w:val="22"/>
        </w:rPr>
        <w:t xml:space="preserve"> </w:t>
      </w:r>
      <w:r>
        <w:rPr>
          <w:rFonts w:ascii="Times" w:hAnsi="Times" w:cs="Times"/>
          <w:i/>
          <w:sz w:val="22"/>
        </w:rPr>
        <w:t xml:space="preserve">For UE with capability 2, </w:t>
      </w:r>
      <w:r w:rsidRPr="00493F7A">
        <w:rPr>
          <w:rFonts w:ascii="Times" w:hAnsi="Times" w:cs="Times"/>
          <w:i/>
          <w:sz w:val="22"/>
        </w:rPr>
        <w:t xml:space="preserve">to avoid a power loss, a UE </w:t>
      </w:r>
      <w:r w:rsidR="00464A14">
        <w:rPr>
          <w:rFonts w:ascii="Times" w:hAnsi="Times" w:cs="Times"/>
          <w:i/>
          <w:sz w:val="22"/>
        </w:rPr>
        <w:t>could</w:t>
      </w:r>
      <w:r w:rsidRPr="00493F7A">
        <w:rPr>
          <w:rFonts w:ascii="Times" w:hAnsi="Times" w:cs="Times"/>
          <w:i/>
          <w:sz w:val="22"/>
        </w:rPr>
        <w:t xml:space="preserve"> override codebook subset restriction if its estimated SINR falls below a threshold</w:t>
      </w:r>
      <w:r>
        <w:rPr>
          <w:rFonts w:ascii="Times" w:hAnsi="Times" w:cs="Times"/>
          <w:i/>
          <w:sz w:val="22"/>
        </w:rPr>
        <w:t>.</w:t>
      </w:r>
    </w:p>
    <w:p w14:paraId="14A051F7" w14:textId="3CFD6A6B" w:rsidR="00906CA1" w:rsidRDefault="00906CA1" w:rsidP="00C819D0">
      <w:pPr>
        <w:spacing w:line="276" w:lineRule="auto"/>
        <w:contextualSpacing/>
        <w:jc w:val="both"/>
        <w:rPr>
          <w:i/>
          <w:sz w:val="22"/>
        </w:rPr>
      </w:pPr>
    </w:p>
    <w:p w14:paraId="6F91389D" w14:textId="77777777" w:rsidR="00906CA1" w:rsidRPr="0050350F" w:rsidRDefault="00906CA1" w:rsidP="00C819D0">
      <w:pPr>
        <w:spacing w:after="0" w:line="276" w:lineRule="auto"/>
        <w:ind w:left="432" w:firstLine="288"/>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FF2077">
        <w:rPr>
          <w:rFonts w:cs="Arial"/>
          <w:lang w:val="en-US"/>
        </w:rPr>
        <w:t>References</w:t>
      </w:r>
    </w:p>
    <w:p w14:paraId="27F6F8F2" w14:textId="4641CCE5" w:rsidR="001645AA" w:rsidRDefault="00B104A6" w:rsidP="00C819D0">
      <w:pPr>
        <w:pStyle w:val="Reference"/>
        <w:keepLines w:val="0"/>
        <w:numPr>
          <w:ilvl w:val="0"/>
          <w:numId w:val="9"/>
        </w:numPr>
        <w:suppressAutoHyphens w:val="0"/>
        <w:overflowPunct/>
        <w:autoSpaceDE/>
        <w:spacing w:after="0" w:line="276" w:lineRule="auto"/>
        <w:contextualSpacing/>
        <w:textAlignment w:val="auto"/>
        <w:rPr>
          <w:rFonts w:ascii="Times" w:hAnsi="Times" w:cs="Times"/>
        </w:rPr>
      </w:pPr>
      <w:bookmarkStart w:id="5" w:name="_Ref478127360"/>
      <w:r w:rsidRPr="00775D8A">
        <w:rPr>
          <w:rFonts w:ascii="Times" w:hAnsi="Times" w:cs="Times"/>
        </w:rPr>
        <w:t xml:space="preserve">Chairman’s Notes, 3GPP TSG RAN WG1 Meeting </w:t>
      </w:r>
      <w:r>
        <w:rPr>
          <w:rFonts w:ascii="Times" w:hAnsi="Times" w:cs="Times"/>
        </w:rPr>
        <w:t>#9</w:t>
      </w:r>
      <w:r w:rsidR="00334CE0">
        <w:rPr>
          <w:rFonts w:ascii="Times" w:hAnsi="Times" w:cs="Times"/>
        </w:rPr>
        <w:t>5</w:t>
      </w:r>
      <w:r w:rsidRPr="00775D8A">
        <w:rPr>
          <w:rFonts w:ascii="Times" w:hAnsi="Times" w:cs="Times"/>
        </w:rPr>
        <w:t xml:space="preserve">, </w:t>
      </w:r>
      <w:r w:rsidR="00334CE0">
        <w:rPr>
          <w:rFonts w:ascii="Times" w:hAnsi="Times" w:cs="Times"/>
        </w:rPr>
        <w:t>Spokane</w:t>
      </w:r>
      <w:r>
        <w:rPr>
          <w:rFonts w:ascii="Times" w:hAnsi="Times" w:cs="Times"/>
        </w:rPr>
        <w:t xml:space="preserve">, </w:t>
      </w:r>
      <w:r w:rsidR="00334CE0">
        <w:rPr>
          <w:rFonts w:ascii="Times" w:hAnsi="Times" w:cs="Times"/>
        </w:rPr>
        <w:t>US</w:t>
      </w:r>
      <w:r w:rsidR="00947A78">
        <w:rPr>
          <w:rFonts w:ascii="Times" w:hAnsi="Times" w:cs="Times"/>
        </w:rPr>
        <w:t xml:space="preserve">, </w:t>
      </w:r>
      <w:r w:rsidR="00334CE0">
        <w:rPr>
          <w:rFonts w:ascii="Times" w:hAnsi="Times" w:cs="Times"/>
        </w:rPr>
        <w:t>Novem</w:t>
      </w:r>
      <w:r w:rsidR="00A70A02">
        <w:rPr>
          <w:rFonts w:ascii="Times" w:hAnsi="Times" w:cs="Times"/>
        </w:rPr>
        <w:t>ber</w:t>
      </w:r>
      <w:r>
        <w:rPr>
          <w:rFonts w:ascii="Times" w:hAnsi="Times" w:cs="Times"/>
        </w:rPr>
        <w:t xml:space="preserve"> 2018</w:t>
      </w:r>
      <w:bookmarkEnd w:id="5"/>
    </w:p>
    <w:p w14:paraId="6ABE5EC3" w14:textId="58D61CF8" w:rsidR="00493F7A" w:rsidRDefault="00493F7A" w:rsidP="00493F7A">
      <w:pPr>
        <w:pStyle w:val="Reference"/>
        <w:keepLines w:val="0"/>
        <w:numPr>
          <w:ilvl w:val="0"/>
          <w:numId w:val="9"/>
        </w:numPr>
        <w:suppressAutoHyphens w:val="0"/>
        <w:overflowPunct/>
        <w:autoSpaceDE/>
        <w:spacing w:after="0" w:line="276" w:lineRule="auto"/>
        <w:contextualSpacing/>
        <w:textAlignment w:val="auto"/>
        <w:rPr>
          <w:rFonts w:ascii="Times" w:hAnsi="Times" w:cs="Times"/>
        </w:rPr>
      </w:pPr>
      <w:r w:rsidRPr="00775D8A">
        <w:rPr>
          <w:rFonts w:ascii="Times" w:hAnsi="Times" w:cs="Times"/>
        </w:rPr>
        <w:t xml:space="preserve">Chairman’s Notes, 3GPP TSG RAN WG1 Meeting </w:t>
      </w:r>
      <w:r>
        <w:rPr>
          <w:rFonts w:ascii="Times" w:hAnsi="Times" w:cs="Times"/>
        </w:rPr>
        <w:t>AH1901</w:t>
      </w:r>
      <w:r w:rsidRPr="00775D8A">
        <w:rPr>
          <w:rFonts w:ascii="Times" w:hAnsi="Times" w:cs="Times"/>
        </w:rPr>
        <w:t xml:space="preserve">, </w:t>
      </w:r>
      <w:r>
        <w:rPr>
          <w:rFonts w:ascii="Times" w:hAnsi="Times" w:cs="Times"/>
        </w:rPr>
        <w:t>Taipei, Taiwan, January 2019</w:t>
      </w:r>
    </w:p>
    <w:p w14:paraId="655E3905" w14:textId="77777777" w:rsidR="00493F7A" w:rsidRDefault="00493F7A" w:rsidP="00493F7A">
      <w:pPr>
        <w:pStyle w:val="Reference"/>
        <w:keepLines w:val="0"/>
        <w:tabs>
          <w:tab w:val="clear" w:pos="360"/>
        </w:tabs>
        <w:suppressAutoHyphens w:val="0"/>
        <w:overflowPunct/>
        <w:autoSpaceDE/>
        <w:spacing w:after="0" w:line="276" w:lineRule="auto"/>
        <w:ind w:left="567"/>
        <w:contextualSpacing/>
        <w:textAlignment w:val="auto"/>
        <w:rPr>
          <w:rFonts w:ascii="Times" w:hAnsi="Times" w:cs="Times"/>
        </w:rPr>
      </w:pPr>
    </w:p>
    <w:sectPr w:rsidR="00493F7A" w:rsidSect="00733B1F">
      <w:headerReference w:type="even" r:id="rId73"/>
      <w:footerReference w:type="even" r:id="rId74"/>
      <w:footerReference w:type="default" r:id="rId7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4762" w14:textId="77777777" w:rsidR="009F2D2A" w:rsidRDefault="009F2D2A">
      <w:r>
        <w:separator/>
      </w:r>
    </w:p>
  </w:endnote>
  <w:endnote w:type="continuationSeparator" w:id="0">
    <w:p w14:paraId="434ED709" w14:textId="77777777" w:rsidR="009F2D2A" w:rsidRDefault="009F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DCCC" w14:textId="77777777" w:rsidR="009F2D2A" w:rsidRDefault="009F2D2A">
      <w:r>
        <w:separator/>
      </w:r>
    </w:p>
  </w:footnote>
  <w:footnote w:type="continuationSeparator" w:id="0">
    <w:p w14:paraId="6275C673" w14:textId="77777777" w:rsidR="009F2D2A" w:rsidRDefault="009F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A07B6"/>
    <w:multiLevelType w:val="hybridMultilevel"/>
    <w:tmpl w:val="4A644AEE"/>
    <w:lvl w:ilvl="0" w:tplc="048E3B9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1418B"/>
    <w:multiLevelType w:val="hybridMultilevel"/>
    <w:tmpl w:val="7F6E23B6"/>
    <w:lvl w:ilvl="0" w:tplc="D564DB2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DF0BA4"/>
    <w:multiLevelType w:val="hybridMultilevel"/>
    <w:tmpl w:val="E472AB70"/>
    <w:lvl w:ilvl="0" w:tplc="55D0A350">
      <w:start w:val="18"/>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B72A72"/>
    <w:multiLevelType w:val="hybridMultilevel"/>
    <w:tmpl w:val="0100DCC4"/>
    <w:lvl w:ilvl="0" w:tplc="AD32E1B8">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C2DD6"/>
    <w:multiLevelType w:val="hybridMultilevel"/>
    <w:tmpl w:val="68EA45E6"/>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C704CB"/>
    <w:multiLevelType w:val="hybridMultilevel"/>
    <w:tmpl w:val="404E64F6"/>
    <w:lvl w:ilvl="0" w:tplc="2B3041C6">
      <w:start w:val="1"/>
      <w:numFmt w:val="lowerLetter"/>
      <w:lvlText w:val="(%1)"/>
      <w:lvlJc w:val="left"/>
      <w:pPr>
        <w:ind w:left="3240"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A71711"/>
    <w:multiLevelType w:val="hybridMultilevel"/>
    <w:tmpl w:val="29AA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48189C"/>
    <w:multiLevelType w:val="hybridMultilevel"/>
    <w:tmpl w:val="055034D6"/>
    <w:lvl w:ilvl="0" w:tplc="16E0ED9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26B36091"/>
    <w:multiLevelType w:val="hybridMultilevel"/>
    <w:tmpl w:val="B07A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D71DCE"/>
    <w:multiLevelType w:val="hybridMultilevel"/>
    <w:tmpl w:val="36C23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9491C68"/>
    <w:multiLevelType w:val="hybridMultilevel"/>
    <w:tmpl w:val="AF42F29C"/>
    <w:lvl w:ilvl="0" w:tplc="2B3041C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13343"/>
    <w:multiLevelType w:val="hybridMultilevel"/>
    <w:tmpl w:val="44C211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802127C"/>
    <w:multiLevelType w:val="hybridMultilevel"/>
    <w:tmpl w:val="C3565504"/>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D1458"/>
    <w:multiLevelType w:val="hybridMultilevel"/>
    <w:tmpl w:val="40B8530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1" w15:restartNumberingAfterBreak="0">
    <w:nsid w:val="6274559D"/>
    <w:multiLevelType w:val="hybridMultilevel"/>
    <w:tmpl w:val="85E2CD2A"/>
    <w:lvl w:ilvl="0" w:tplc="273CAFC4">
      <w:start w:val="1"/>
      <w:numFmt w:val="lowerLetter"/>
      <w:lvlText w:val="(%1)"/>
      <w:lvlJc w:val="left"/>
      <w:pPr>
        <w:ind w:left="3816" w:hanging="360"/>
      </w:pPr>
      <w:rPr>
        <w:rFonts w:hint="default"/>
      </w:rPr>
    </w:lvl>
    <w:lvl w:ilvl="1" w:tplc="04090019" w:tentative="1">
      <w:start w:val="1"/>
      <w:numFmt w:val="lowerLetter"/>
      <w:lvlText w:val="%2."/>
      <w:lvlJc w:val="left"/>
      <w:pPr>
        <w:ind w:left="4536" w:hanging="360"/>
      </w:pPr>
    </w:lvl>
    <w:lvl w:ilvl="2" w:tplc="0409001B" w:tentative="1">
      <w:start w:val="1"/>
      <w:numFmt w:val="lowerRoman"/>
      <w:lvlText w:val="%3."/>
      <w:lvlJc w:val="right"/>
      <w:pPr>
        <w:ind w:left="5256" w:hanging="180"/>
      </w:pPr>
    </w:lvl>
    <w:lvl w:ilvl="3" w:tplc="0409000F" w:tentative="1">
      <w:start w:val="1"/>
      <w:numFmt w:val="decimal"/>
      <w:lvlText w:val="%4."/>
      <w:lvlJc w:val="left"/>
      <w:pPr>
        <w:ind w:left="5976" w:hanging="360"/>
      </w:pPr>
    </w:lvl>
    <w:lvl w:ilvl="4" w:tplc="04090019" w:tentative="1">
      <w:start w:val="1"/>
      <w:numFmt w:val="lowerLetter"/>
      <w:lvlText w:val="%5."/>
      <w:lvlJc w:val="left"/>
      <w:pPr>
        <w:ind w:left="6696" w:hanging="360"/>
      </w:pPr>
    </w:lvl>
    <w:lvl w:ilvl="5" w:tplc="0409001B" w:tentative="1">
      <w:start w:val="1"/>
      <w:numFmt w:val="lowerRoman"/>
      <w:lvlText w:val="%6."/>
      <w:lvlJc w:val="right"/>
      <w:pPr>
        <w:ind w:left="7416" w:hanging="180"/>
      </w:pPr>
    </w:lvl>
    <w:lvl w:ilvl="6" w:tplc="0409000F" w:tentative="1">
      <w:start w:val="1"/>
      <w:numFmt w:val="decimal"/>
      <w:lvlText w:val="%7."/>
      <w:lvlJc w:val="left"/>
      <w:pPr>
        <w:ind w:left="8136" w:hanging="360"/>
      </w:pPr>
    </w:lvl>
    <w:lvl w:ilvl="7" w:tplc="04090019" w:tentative="1">
      <w:start w:val="1"/>
      <w:numFmt w:val="lowerLetter"/>
      <w:lvlText w:val="%8."/>
      <w:lvlJc w:val="left"/>
      <w:pPr>
        <w:ind w:left="8856" w:hanging="360"/>
      </w:pPr>
    </w:lvl>
    <w:lvl w:ilvl="8" w:tplc="0409001B" w:tentative="1">
      <w:start w:val="1"/>
      <w:numFmt w:val="lowerRoman"/>
      <w:lvlText w:val="%9."/>
      <w:lvlJc w:val="right"/>
      <w:pPr>
        <w:ind w:left="9576" w:hanging="180"/>
      </w:pPr>
    </w:lvl>
  </w:abstractNum>
  <w:abstractNum w:abstractNumId="32"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C86C7F"/>
    <w:multiLevelType w:val="hybridMultilevel"/>
    <w:tmpl w:val="2D5EB8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BF15208"/>
    <w:multiLevelType w:val="hybridMultilevel"/>
    <w:tmpl w:val="2EEA45F6"/>
    <w:lvl w:ilvl="0" w:tplc="5C18A0DC">
      <w:start w:val="2"/>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8784B"/>
    <w:multiLevelType w:val="hybridMultilevel"/>
    <w:tmpl w:val="54E2C7C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45CC4"/>
    <w:multiLevelType w:val="hybridMultilevel"/>
    <w:tmpl w:val="9DF8A9E6"/>
    <w:lvl w:ilvl="0" w:tplc="5060E9D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7B6A6C3A"/>
    <w:multiLevelType w:val="hybridMultilevel"/>
    <w:tmpl w:val="8BEC3F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5622BB"/>
    <w:multiLevelType w:val="hybridMultilevel"/>
    <w:tmpl w:val="5280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29"/>
  </w:num>
  <w:num w:numId="7">
    <w:abstractNumId w:val="19"/>
    <w:lvlOverride w:ilvl="0">
      <w:startOverride w:val="1"/>
    </w:lvlOverride>
  </w:num>
  <w:num w:numId="8">
    <w:abstractNumId w:val="36"/>
  </w:num>
  <w:num w:numId="9">
    <w:abstractNumId w:val="22"/>
  </w:num>
  <w:num w:numId="10">
    <w:abstractNumId w:val="34"/>
  </w:num>
  <w:num w:numId="11">
    <w:abstractNumId w:val="38"/>
  </w:num>
  <w:num w:numId="12">
    <w:abstractNumId w:val="31"/>
  </w:num>
  <w:num w:numId="13">
    <w:abstractNumId w:val="1"/>
  </w:num>
  <w:num w:numId="14">
    <w:abstractNumId w:val="17"/>
  </w:num>
  <w:num w:numId="15">
    <w:abstractNumId w:val="9"/>
  </w:num>
  <w:num w:numId="16">
    <w:abstractNumId w:val="14"/>
  </w:num>
  <w:num w:numId="17">
    <w:abstractNumId w:val="6"/>
  </w:num>
  <w:num w:numId="18">
    <w:abstractNumId w:val="37"/>
  </w:num>
  <w:num w:numId="19">
    <w:abstractNumId w:val="21"/>
  </w:num>
  <w:num w:numId="20">
    <w:abstractNumId w:val="11"/>
  </w:num>
  <w:num w:numId="21">
    <w:abstractNumId w:val="23"/>
  </w:num>
  <w:num w:numId="22">
    <w:abstractNumId w:val="32"/>
  </w:num>
  <w:num w:numId="23">
    <w:abstractNumId w:val="26"/>
  </w:num>
  <w:num w:numId="24">
    <w:abstractNumId w:val="15"/>
  </w:num>
  <w:num w:numId="25">
    <w:abstractNumId w:val="4"/>
  </w:num>
  <w:num w:numId="26">
    <w:abstractNumId w:val="27"/>
  </w:num>
  <w:num w:numId="27">
    <w:abstractNumId w:val="8"/>
  </w:num>
  <w:num w:numId="28">
    <w:abstractNumId w:val="25"/>
  </w:num>
  <w:num w:numId="29">
    <w:abstractNumId w:val="33"/>
  </w:num>
  <w:num w:numId="30">
    <w:abstractNumId w:val="35"/>
  </w:num>
  <w:num w:numId="31">
    <w:abstractNumId w:val="16"/>
  </w:num>
  <w:num w:numId="32">
    <w:abstractNumId w:val="12"/>
  </w:num>
  <w:num w:numId="33">
    <w:abstractNumId w:val="13"/>
  </w:num>
  <w:num w:numId="34">
    <w:abstractNumId w:val="30"/>
  </w:num>
  <w:num w:numId="35">
    <w:abstractNumId w:val="24"/>
  </w:num>
  <w:num w:numId="36">
    <w:abstractNumId w:val="3"/>
  </w:num>
  <w:num w:numId="37">
    <w:abstractNumId w:val="13"/>
  </w:num>
  <w:num w:numId="38">
    <w:abstractNumId w:val="7"/>
  </w:num>
  <w:num w:numId="39">
    <w:abstractNumId w:val="28"/>
  </w:num>
  <w:num w:numId="40">
    <w:abstractNumId w:val="40"/>
  </w:num>
  <w:num w:numId="4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F8D"/>
    <w:rsid w:val="00413369"/>
    <w:rsid w:val="00413501"/>
    <w:rsid w:val="00413F24"/>
    <w:rsid w:val="00414129"/>
    <w:rsid w:val="004145AE"/>
    <w:rsid w:val="00414A69"/>
    <w:rsid w:val="00414E4B"/>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4B2"/>
    <w:rsid w:val="00542E1B"/>
    <w:rsid w:val="00542F16"/>
    <w:rsid w:val="00543639"/>
    <w:rsid w:val="005436D7"/>
    <w:rsid w:val="00543703"/>
    <w:rsid w:val="00543A66"/>
    <w:rsid w:val="00543A83"/>
    <w:rsid w:val="00544220"/>
    <w:rsid w:val="005444D2"/>
    <w:rsid w:val="00544C33"/>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D64"/>
    <w:rsid w:val="00754EDE"/>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FBC"/>
    <w:rsid w:val="00802410"/>
    <w:rsid w:val="008027A4"/>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547"/>
    <w:rsid w:val="00C80C97"/>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A6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8.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wmf"/><Relationship Id="rId72" Type="http://schemas.openxmlformats.org/officeDocument/2006/relationships/oleObject" Target="embeddings/oleObject30.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4.bin"/><Relationship Id="rId41" Type="http://schemas.openxmlformats.org/officeDocument/2006/relationships/image" Target="media/image16.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94FD4-4314-48A9-8238-5FC17B60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CB6096-AEB2-43EE-B6E2-D58D5B9A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2349</TotalTime>
  <Pages>5</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13268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60</cp:revision>
  <cp:lastPrinted>2011-11-09T07:49:00Z</cp:lastPrinted>
  <dcterms:created xsi:type="dcterms:W3CDTF">2018-10-29T20:13:00Z</dcterms:created>
  <dcterms:modified xsi:type="dcterms:W3CDTF">2019-02-15T16:27:00Z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